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CF085" w14:textId="6FF1E9D7" w:rsidR="00A22EBD" w:rsidRDefault="00CC2EC1">
      <w:pPr>
        <w:pBdr>
          <w:top w:val="single" w:sz="16" w:space="0" w:color="000000"/>
          <w:left w:val="single" w:sz="16" w:space="0" w:color="000000"/>
          <w:bottom w:val="single" w:sz="16" w:space="0" w:color="000000"/>
          <w:right w:val="single" w:sz="16" w:space="0" w:color="000000"/>
        </w:pBdr>
        <w:shd w:val="clear" w:color="auto" w:fill="000000"/>
        <w:spacing w:after="0"/>
        <w:ind w:left="97"/>
        <w:jc w:val="center"/>
      </w:pPr>
      <w:r>
        <w:rPr>
          <w:rFonts w:ascii="Cambria" w:eastAsia="Cambria" w:hAnsi="Cambria" w:cs="Cambria"/>
          <w:b/>
          <w:color w:val="FFFFFF"/>
          <w:sz w:val="28"/>
        </w:rPr>
        <w:t xml:space="preserve">Sample Letter of Medical Exception &amp; Necessity </w:t>
      </w:r>
    </w:p>
    <w:p w14:paraId="3533C2D8" w14:textId="79E0C732" w:rsidR="00A22EBD" w:rsidRDefault="00CC2EC1" w:rsidP="001E478A">
      <w:pPr>
        <w:spacing w:after="26"/>
        <w:ind w:left="461"/>
      </w:pPr>
      <w:r>
        <w:rPr>
          <w:color w:val="045E82"/>
        </w:rPr>
        <w:t xml:space="preserve"> </w:t>
      </w:r>
    </w:p>
    <w:p w14:paraId="6B5FCA9C" w14:textId="2E88AD5D" w:rsidR="00A22EBD" w:rsidRDefault="00CC2EC1">
      <w:pPr>
        <w:spacing w:after="132" w:line="241" w:lineRule="auto"/>
        <w:ind w:left="469" w:right="2917" w:hanging="10"/>
        <w:jc w:val="both"/>
      </w:pPr>
      <w:r>
        <w:rPr>
          <w:b/>
          <w:color w:val="045E82"/>
        </w:rPr>
        <w:t xml:space="preserve">Options for additional support regarding the prior authorization (PA) process </w:t>
      </w:r>
      <w:r>
        <w:rPr>
          <w:b/>
        </w:rPr>
        <w:t>Contact your Pfizer Field Access Specialist (FAS)</w:t>
      </w:r>
      <w:r>
        <w:t xml:space="preserve">. Your Pfizer sales representative can connect you with a Pfizer FAS for general questions regarding the PA process. </w:t>
      </w:r>
    </w:p>
    <w:p w14:paraId="54ECB157" w14:textId="77777777" w:rsidR="00A22EBD" w:rsidRDefault="00CC2EC1">
      <w:pPr>
        <w:spacing w:after="0" w:line="255" w:lineRule="auto"/>
        <w:ind w:left="461" w:right="626"/>
      </w:pPr>
      <w:r>
        <w:rPr>
          <w:b/>
          <w:sz w:val="20"/>
        </w:rPr>
        <w:t xml:space="preserve">The information contained in this template letter is provided by Pfizer for informational purposes for patients who have been prescribed VYNDAMAX® (tafamidis).* There is no requirement that any patient or healthcare provider use any Pfizer product in exchange for this information, and this template letter is not meant to be a substitution for a prescriber’s independent medical decision-making. </w:t>
      </w:r>
    </w:p>
    <w:p w14:paraId="175C3B63" w14:textId="77777777" w:rsidR="00A22EBD" w:rsidRDefault="00CC2EC1">
      <w:pPr>
        <w:spacing w:after="0"/>
      </w:pPr>
      <w:r>
        <w:rPr>
          <w:b/>
          <w:sz w:val="10"/>
        </w:rPr>
        <w:t xml:space="preserve"> </w:t>
      </w:r>
    </w:p>
    <w:p w14:paraId="485F0434" w14:textId="77777777" w:rsidR="00A22EBD" w:rsidRDefault="00CC2EC1">
      <w:pPr>
        <w:spacing w:after="96"/>
        <w:ind w:left="461"/>
      </w:pPr>
      <w:r>
        <w:rPr>
          <w:noProof/>
        </w:rPr>
        <mc:AlternateContent>
          <mc:Choice Requires="wpg">
            <w:drawing>
              <wp:inline distT="0" distB="0" distL="0" distR="0" wp14:anchorId="141B0888" wp14:editId="6C22F89C">
                <wp:extent cx="6160516" cy="12700"/>
                <wp:effectExtent l="0" t="0" r="0" b="0"/>
                <wp:docPr id="7231" name="Group 7231"/>
                <wp:cNvGraphicFramePr/>
                <a:graphic xmlns:a="http://schemas.openxmlformats.org/drawingml/2006/main">
                  <a:graphicData uri="http://schemas.microsoft.com/office/word/2010/wordprocessingGroup">
                    <wpg:wgp>
                      <wpg:cNvGrpSpPr/>
                      <wpg:grpSpPr>
                        <a:xfrm>
                          <a:off x="0" y="0"/>
                          <a:ext cx="6160516" cy="12700"/>
                          <a:chOff x="0" y="0"/>
                          <a:chExt cx="6160516" cy="12700"/>
                        </a:xfrm>
                      </wpg:grpSpPr>
                      <wps:wsp>
                        <wps:cNvPr id="378" name="Shape 378"/>
                        <wps:cNvSpPr/>
                        <wps:spPr>
                          <a:xfrm>
                            <a:off x="0" y="0"/>
                            <a:ext cx="6160516" cy="0"/>
                          </a:xfrm>
                          <a:custGeom>
                            <a:avLst/>
                            <a:gdLst/>
                            <a:ahLst/>
                            <a:cxnLst/>
                            <a:rect l="0" t="0" r="0" b="0"/>
                            <a:pathLst>
                              <a:path w="6160516">
                                <a:moveTo>
                                  <a:pt x="0" y="0"/>
                                </a:moveTo>
                                <a:lnTo>
                                  <a:pt x="6160516" y="0"/>
                                </a:lnTo>
                              </a:path>
                            </a:pathLst>
                          </a:custGeom>
                          <a:ln w="1270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231" style="width:485.08pt;height:1pt;mso-position-horizontal-relative:char;mso-position-vertical-relative:line" coordsize="61605,127">
                <v:shape id="Shape 378" style="position:absolute;width:61605;height:0;left:0;top:0;" coordsize="6160516,0" path="m0,0l6160516,0">
                  <v:stroke weight="1pt" endcap="flat" joinstyle="round" on="true" color="#000000"/>
                  <v:fill on="false" color="#000000" opacity="0"/>
                </v:shape>
              </v:group>
            </w:pict>
          </mc:Fallback>
        </mc:AlternateContent>
      </w:r>
    </w:p>
    <w:p w14:paraId="0031246C" w14:textId="77777777" w:rsidR="00A22EBD" w:rsidRDefault="00CC2EC1">
      <w:pPr>
        <w:spacing w:after="46" w:line="252" w:lineRule="auto"/>
        <w:ind w:left="456" w:right="933" w:hanging="10"/>
      </w:pPr>
      <w:r>
        <w:rPr>
          <w:i/>
          <w:color w:val="EC008B"/>
        </w:rPr>
        <w:t>&lt;&lt;Date&gt;&gt;</w:t>
      </w:r>
      <w:r>
        <w:rPr>
          <w:i/>
        </w:rPr>
        <w:t xml:space="preserve"> </w:t>
      </w:r>
    </w:p>
    <w:p w14:paraId="784EFB6D" w14:textId="77777777" w:rsidR="00A22EBD" w:rsidRDefault="00CC2EC1">
      <w:pPr>
        <w:spacing w:after="0"/>
        <w:ind w:left="456" w:hanging="10"/>
      </w:pPr>
      <w:r>
        <w:rPr>
          <w:b/>
        </w:rPr>
        <w:t xml:space="preserve">Insurer Details: </w:t>
      </w:r>
    </w:p>
    <w:p w14:paraId="09108DA6" w14:textId="77777777" w:rsidR="00A22EBD" w:rsidRDefault="00CC2EC1">
      <w:pPr>
        <w:spacing w:after="3" w:line="252" w:lineRule="auto"/>
        <w:ind w:left="456" w:right="933" w:hanging="10"/>
      </w:pPr>
      <w:r>
        <w:rPr>
          <w:i/>
          <w:color w:val="EC008B"/>
        </w:rPr>
        <w:t>&lt;&lt;Insurance Company Name&gt;&gt;</w:t>
      </w:r>
      <w:r>
        <w:rPr>
          <w:i/>
        </w:rPr>
        <w:t xml:space="preserve"> </w:t>
      </w:r>
    </w:p>
    <w:p w14:paraId="5B16BD58" w14:textId="77777777" w:rsidR="00A22EBD" w:rsidRDefault="00CC2EC1">
      <w:pPr>
        <w:spacing w:after="3" w:line="252" w:lineRule="auto"/>
        <w:ind w:left="456" w:right="933" w:hanging="10"/>
      </w:pPr>
      <w:r>
        <w:rPr>
          <w:i/>
          <w:color w:val="EC008B"/>
        </w:rPr>
        <w:t>&lt;&lt;Medical Director&gt;&gt;</w:t>
      </w:r>
      <w:r>
        <w:rPr>
          <w:i/>
        </w:rPr>
        <w:t xml:space="preserve"> </w:t>
      </w:r>
    </w:p>
    <w:p w14:paraId="126AC0F9" w14:textId="3AD0670C" w:rsidR="00A22EBD" w:rsidRDefault="00CC2EC1">
      <w:pPr>
        <w:spacing w:after="121" w:line="252" w:lineRule="auto"/>
        <w:ind w:left="456" w:right="7516" w:hanging="10"/>
      </w:pPr>
      <w:r>
        <w:rPr>
          <w:i/>
          <w:color w:val="EC008B"/>
        </w:rPr>
        <w:t>&lt;&lt;Insurer Address&gt;&gt;</w:t>
      </w:r>
      <w:r>
        <w:rPr>
          <w:i/>
        </w:rPr>
        <w:t xml:space="preserve"> </w:t>
      </w:r>
      <w:r>
        <w:rPr>
          <w:i/>
          <w:color w:val="EC008B"/>
        </w:rPr>
        <w:t>&lt;&lt;State, City, Zip Code&gt;&gt;</w:t>
      </w:r>
      <w:r>
        <w:rPr>
          <w:i/>
        </w:rPr>
        <w:t xml:space="preserve"> </w:t>
      </w:r>
    </w:p>
    <w:p w14:paraId="2479C86E" w14:textId="77777777" w:rsidR="00A22EBD" w:rsidRDefault="00CC2EC1">
      <w:pPr>
        <w:spacing w:after="0"/>
        <w:ind w:left="456" w:hanging="10"/>
      </w:pPr>
      <w:r>
        <w:rPr>
          <w:b/>
        </w:rPr>
        <w:t xml:space="preserve">Patient Details: </w:t>
      </w:r>
    </w:p>
    <w:p w14:paraId="6F0AF1BC" w14:textId="77777777" w:rsidR="00A22EBD" w:rsidRDefault="00CC2EC1">
      <w:pPr>
        <w:spacing w:after="3" w:line="252" w:lineRule="auto"/>
        <w:ind w:left="456" w:right="933" w:hanging="10"/>
      </w:pPr>
      <w:r>
        <w:rPr>
          <w:i/>
          <w:color w:val="EC008B"/>
        </w:rPr>
        <w:t>&lt;&lt;Patient First and Last Name&gt;&gt;</w:t>
      </w:r>
      <w:r>
        <w:rPr>
          <w:i/>
        </w:rPr>
        <w:t xml:space="preserve"> </w:t>
      </w:r>
    </w:p>
    <w:p w14:paraId="11E8A7F8" w14:textId="77777777" w:rsidR="00A22EBD" w:rsidRDefault="00CC2EC1">
      <w:pPr>
        <w:spacing w:after="3" w:line="252" w:lineRule="auto"/>
        <w:ind w:left="456" w:right="933" w:hanging="10"/>
      </w:pPr>
      <w:r>
        <w:rPr>
          <w:i/>
          <w:color w:val="EC008B"/>
        </w:rPr>
        <w:t>&lt;&lt;Group Number&gt;&gt;</w:t>
      </w:r>
      <w:r>
        <w:rPr>
          <w:i/>
        </w:rPr>
        <w:t xml:space="preserve"> </w:t>
      </w:r>
    </w:p>
    <w:p w14:paraId="25809383" w14:textId="1305E651" w:rsidR="00A22EBD" w:rsidRDefault="00CC2EC1">
      <w:pPr>
        <w:spacing w:after="3" w:line="252" w:lineRule="auto"/>
        <w:ind w:left="456" w:right="933" w:hanging="10"/>
      </w:pPr>
      <w:r>
        <w:rPr>
          <w:i/>
          <w:color w:val="EC008B"/>
        </w:rPr>
        <w:t>&lt;&lt;Policy Number&gt;&gt;</w:t>
      </w:r>
      <w:r>
        <w:rPr>
          <w:i/>
        </w:rPr>
        <w:t xml:space="preserve"> </w:t>
      </w:r>
    </w:p>
    <w:p w14:paraId="50A7C7D4" w14:textId="77777777" w:rsidR="00A22EBD" w:rsidRDefault="00CC2EC1">
      <w:pPr>
        <w:spacing w:after="44" w:line="252" w:lineRule="auto"/>
        <w:ind w:left="456" w:right="933" w:hanging="10"/>
      </w:pPr>
      <w:r>
        <w:rPr>
          <w:i/>
          <w:color w:val="EC008B"/>
        </w:rPr>
        <w:t>&lt;&lt;Reference Number&gt;&gt;</w:t>
      </w:r>
      <w:r>
        <w:rPr>
          <w:i/>
        </w:rPr>
        <w:t xml:space="preserve"> </w:t>
      </w:r>
    </w:p>
    <w:p w14:paraId="4FA9F58B" w14:textId="5B7CB7D3" w:rsidR="00A22EBD" w:rsidRDefault="00CC2EC1">
      <w:pPr>
        <w:spacing w:after="132" w:line="241" w:lineRule="auto"/>
        <w:ind w:left="471" w:right="601" w:hanging="10"/>
        <w:jc w:val="both"/>
      </w:pPr>
      <w:r>
        <w:t xml:space="preserve">To Whom It May Concern, </w:t>
      </w:r>
    </w:p>
    <w:p w14:paraId="463DB40E" w14:textId="77777777" w:rsidR="00A22EBD" w:rsidRDefault="00CC2EC1">
      <w:pPr>
        <w:spacing w:after="132" w:line="241" w:lineRule="auto"/>
        <w:ind w:left="471" w:right="395" w:hanging="10"/>
        <w:jc w:val="both"/>
      </w:pPr>
      <w:r>
        <w:t xml:space="preserve">I am writing on behalf of my patient, </w:t>
      </w:r>
      <w:r>
        <w:rPr>
          <w:i/>
          <w:color w:val="EC008B"/>
        </w:rPr>
        <w:t>&lt;&lt;Patient First and Last Name&gt;&gt;</w:t>
      </w:r>
      <w:r>
        <w:t xml:space="preserve">, to request that you approve coverage for VYNDAMAX® (tafamidis) as a medically necessary treatment. VYNDAMAX is indicated for the treatment of the cardiomyopathy of wild-type or hereditary transthyretin-mediated amyloidosis (ATTR-CM) in adults to reduce cardiovascular (CV) mortality and CV-related hospitalization. </w:t>
      </w:r>
    </w:p>
    <w:p w14:paraId="48315FC4" w14:textId="77777777" w:rsidR="00A22EBD" w:rsidRDefault="00CC2EC1">
      <w:pPr>
        <w:spacing w:after="132" w:line="241" w:lineRule="auto"/>
        <w:ind w:left="471" w:hanging="10"/>
        <w:jc w:val="both"/>
      </w:pPr>
      <w:r>
        <w:t xml:space="preserve">This letter provides information about my patient’s medical history, diagnosis, and details regarding the medical necessity of the VYNDAMAX treatment being requested. </w:t>
      </w:r>
    </w:p>
    <w:p w14:paraId="2933C483" w14:textId="32904EAC" w:rsidR="00A22EBD" w:rsidRDefault="00CC2EC1">
      <w:pPr>
        <w:spacing w:after="115"/>
        <w:ind w:left="456" w:hanging="10"/>
      </w:pPr>
      <w:r>
        <w:rPr>
          <w:b/>
        </w:rPr>
        <w:t xml:space="preserve">Overview of ATTR-CM </w:t>
      </w:r>
    </w:p>
    <w:p w14:paraId="4206950E" w14:textId="54DEEBC5" w:rsidR="00A22EBD" w:rsidRDefault="00CC2EC1">
      <w:pPr>
        <w:spacing w:after="135" w:line="239" w:lineRule="auto"/>
        <w:ind w:left="456" w:hanging="10"/>
      </w:pPr>
      <w:r>
        <w:t xml:space="preserve">Transthyretin amyloid cardiomyopathy is a rare and fatal condition characterized by restrictive cardiomyopathy and progressive heart failure. ATTR-CM is caused by deposition of transthyretin amyloid fibrils in the heart. In patients with ATTR-CM, transthyretin breaks down and forms what are called amyloid fibrils. These fibrils build up in heart tissue, causing damage to cells and limiting the heart’s ability to pump blood. As more amyloid is deposited, the heart progressively stiffens and fails. </w:t>
      </w:r>
    </w:p>
    <w:p w14:paraId="11910E29" w14:textId="5D4B8FE4" w:rsidR="00A22EBD" w:rsidRDefault="00CC2EC1">
      <w:pPr>
        <w:spacing w:after="211" w:line="224" w:lineRule="auto"/>
        <w:ind w:left="461"/>
      </w:pPr>
      <w:r>
        <w:t>Patients with ATTR-CM typically experience symptoms of heart failure. As the symptoms worsen over time, most patients have difficulty performing even the most basic activities of daily living.</w:t>
      </w:r>
      <w:r w:rsidRPr="007C463B">
        <w:rPr>
          <w:vertAlign w:val="superscript"/>
        </w:rPr>
        <w:t>1</w:t>
      </w:r>
      <w:r>
        <w:t xml:space="preserve"> Patients usually die within three to five years of receiving a diagnosis.</w:t>
      </w:r>
      <w:r>
        <w:rPr>
          <w:vertAlign w:val="superscript"/>
        </w:rPr>
        <w:t xml:space="preserve">2 </w:t>
      </w:r>
    </w:p>
    <w:p w14:paraId="2ABCBEA4" w14:textId="64617276" w:rsidR="00A9051F" w:rsidRDefault="00CC2EC1" w:rsidP="00A9051F">
      <w:pPr>
        <w:spacing w:after="1115" w:line="239" w:lineRule="auto"/>
        <w:ind w:left="456" w:hanging="10"/>
      </w:pPr>
      <w:r>
        <w:rPr>
          <w:noProof/>
        </w:rPr>
        <mc:AlternateContent>
          <mc:Choice Requires="wps">
            <w:drawing>
              <wp:anchor distT="0" distB="0" distL="114300" distR="114300" simplePos="0" relativeHeight="251659264" behindDoc="0" locked="0" layoutInCell="1" allowOverlap="1" wp14:anchorId="584CA5CE" wp14:editId="72AA3DBE">
                <wp:simplePos x="0" y="0"/>
                <wp:positionH relativeFrom="margin">
                  <wp:posOffset>5607170</wp:posOffset>
                </wp:positionH>
                <wp:positionV relativeFrom="paragraph">
                  <wp:posOffset>1154562</wp:posOffset>
                </wp:positionV>
                <wp:extent cx="1259457" cy="163902"/>
                <wp:effectExtent l="0" t="0" r="0" b="7620"/>
                <wp:wrapNone/>
                <wp:docPr id="1542705009" name="Text Box 2"/>
                <wp:cNvGraphicFramePr/>
                <a:graphic xmlns:a="http://schemas.openxmlformats.org/drawingml/2006/main">
                  <a:graphicData uri="http://schemas.microsoft.com/office/word/2010/wordprocessingShape">
                    <wps:wsp>
                      <wps:cNvSpPr txBox="1"/>
                      <wps:spPr>
                        <a:xfrm>
                          <a:off x="0" y="0"/>
                          <a:ext cx="1259457" cy="163902"/>
                        </a:xfrm>
                        <a:prstGeom prst="rect">
                          <a:avLst/>
                        </a:prstGeom>
                        <a:noFill/>
                        <a:ln w="6350">
                          <a:noFill/>
                        </a:ln>
                      </wps:spPr>
                      <wps:txbx>
                        <w:txbxContent>
                          <w:p w14:paraId="5CE9F5B3" w14:textId="77777777" w:rsidR="00CC2EC1" w:rsidRPr="008A5CEE" w:rsidRDefault="00CC2EC1" w:rsidP="00CC2EC1">
                            <w:pPr>
                              <w:spacing w:line="240" w:lineRule="auto"/>
                              <w:rPr>
                                <w:color w:val="auto"/>
                                <w:sz w:val="16"/>
                                <w:szCs w:val="18"/>
                              </w:rPr>
                            </w:pPr>
                            <w:r>
                              <w:rPr>
                                <w:sz w:val="16"/>
                              </w:rPr>
                              <w:t>Continued on next page</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4CA5CE" id="_x0000_t202" coordsize="21600,21600" o:spt="202" path="m,l,21600r21600,l21600,xe">
                <v:stroke joinstyle="miter"/>
                <v:path gradientshapeok="t" o:connecttype="rect"/>
              </v:shapetype>
              <v:shape id="Text Box 2" o:spid="_x0000_s1026" type="#_x0000_t202" style="position:absolute;left:0;text-align:left;margin-left:441.5pt;margin-top:90.9pt;width:99.15pt;height:1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" filled="f" stroked="f" strokeweight=".5pt">
                <v:textbox inset=",0,,0">
                  <w:txbxContent>
                    <w:p w14:paraId="5CE9F5B3" w14:textId="77777777" w:rsidR="00CC2EC1" w:rsidRPr="008A5CEE" w:rsidRDefault="00CC2EC1" w:rsidP="00CC2EC1">
                      <w:pPr>
                        <w:spacing w:line="240" w:lineRule="auto"/>
                        <w:rPr>
                          <w:color w:val="auto"/>
                          <w:sz w:val="16"/>
                          <w:szCs w:val="18"/>
                        </w:rPr>
                      </w:pPr>
                      <w:proofErr w:type="gramStart"/>
                      <w:r>
                        <w:rPr>
                          <w:sz w:val="16"/>
                        </w:rPr>
                        <w:t>Continued on</w:t>
                      </w:r>
                      <w:proofErr w:type="gramEnd"/>
                      <w:r>
                        <w:rPr>
                          <w:sz w:val="16"/>
                        </w:rPr>
                        <w:t xml:space="preserve"> next page</w:t>
                      </w:r>
                    </w:p>
                  </w:txbxContent>
                </v:textbox>
                <w10:wrap anchorx="margin"/>
              </v:shape>
            </w:pict>
          </mc:Fallback>
        </mc:AlternateContent>
      </w:r>
      <w:r>
        <w:t>ATTR-CM can be an inherited condition (“hereditary” form), or it can occur sporadically in elderly patients without a known genetic predisposition (“wild-type” form). The two forms of the disease may have a similar clinical presentation, though the disease may progress more quickly in those with the hereditary form.</w:t>
      </w:r>
    </w:p>
    <w:p w14:paraId="0FF6A79F" w14:textId="77777777" w:rsidR="00A22EBD" w:rsidRDefault="00CC2EC1">
      <w:pPr>
        <w:pStyle w:val="Heading1"/>
      </w:pPr>
      <w:r>
        <w:lastRenderedPageBreak/>
        <w:t>Summary of Patient’s Medical History</w:t>
      </w:r>
      <w:r>
        <w:rPr>
          <w:color w:val="000000"/>
        </w:rPr>
        <w:t xml:space="preserve"> </w:t>
      </w:r>
    </w:p>
    <w:p w14:paraId="048926C7" w14:textId="775A38FD" w:rsidR="00A22EBD" w:rsidRDefault="00CC2EC1">
      <w:pPr>
        <w:spacing w:after="3" w:line="252" w:lineRule="auto"/>
        <w:ind w:left="456" w:right="933" w:hanging="10"/>
      </w:pPr>
      <w:r>
        <w:rPr>
          <w:i/>
          <w:color w:val="EC008B"/>
        </w:rPr>
        <w:t>[Note: Exercise your medical judgment and discretion when providing a diagnosis and characterization of the patient’s medical condition.]</w:t>
      </w:r>
      <w:r>
        <w:rPr>
          <w:i/>
        </w:rPr>
        <w:t xml:space="preserve"> </w:t>
      </w:r>
    </w:p>
    <w:p w14:paraId="1CA1539F" w14:textId="77777777" w:rsidR="00A22EBD" w:rsidRDefault="00CC2EC1">
      <w:pPr>
        <w:spacing w:after="3" w:line="252" w:lineRule="auto"/>
        <w:ind w:left="456" w:right="933" w:hanging="10"/>
      </w:pPr>
      <w:r>
        <w:rPr>
          <w:i/>
          <w:color w:val="EC008B"/>
        </w:rPr>
        <w:t>&lt;&lt;You may want to include:&gt;&gt;</w:t>
      </w:r>
      <w:r>
        <w:rPr>
          <w:i/>
        </w:rPr>
        <w:t xml:space="preserve"> </w:t>
      </w:r>
    </w:p>
    <w:p w14:paraId="7411BE7E" w14:textId="77777777" w:rsidR="00A22EBD" w:rsidRDefault="00CC2EC1">
      <w:pPr>
        <w:numPr>
          <w:ilvl w:val="0"/>
          <w:numId w:val="1"/>
        </w:numPr>
        <w:spacing w:after="6" w:line="256" w:lineRule="auto"/>
        <w:ind w:right="226" w:hanging="238"/>
      </w:pPr>
      <w:r>
        <w:rPr>
          <w:color w:val="EC008B"/>
        </w:rPr>
        <w:t>Date and method of ATTR-CM diagnosis, including ICD-10-CM code(s)</w:t>
      </w:r>
      <w:r>
        <w:t xml:space="preserve"> </w:t>
      </w:r>
    </w:p>
    <w:p w14:paraId="67C5EFC4" w14:textId="77777777" w:rsidR="00A22EBD" w:rsidRDefault="00CC2EC1">
      <w:pPr>
        <w:numPr>
          <w:ilvl w:val="0"/>
          <w:numId w:val="1"/>
        </w:numPr>
        <w:spacing w:after="6" w:line="256" w:lineRule="auto"/>
        <w:ind w:right="226" w:hanging="238"/>
      </w:pPr>
      <w:r>
        <w:rPr>
          <w:color w:val="EC008B"/>
        </w:rPr>
        <w:t>Rationale for once daily oral administration</w:t>
      </w:r>
      <w:r>
        <w:t xml:space="preserve"> </w:t>
      </w:r>
    </w:p>
    <w:p w14:paraId="2F8C261E" w14:textId="77777777" w:rsidR="00A22EBD" w:rsidRDefault="00CC2EC1">
      <w:pPr>
        <w:numPr>
          <w:ilvl w:val="0"/>
          <w:numId w:val="1"/>
        </w:numPr>
        <w:spacing w:after="6" w:line="256" w:lineRule="auto"/>
        <w:ind w:right="226" w:hanging="238"/>
      </w:pPr>
      <w:r>
        <w:rPr>
          <w:color w:val="EC008B"/>
        </w:rPr>
        <w:t>Date of ATTR-CM diagnosis</w:t>
      </w:r>
      <w:r>
        <w:t xml:space="preserve"> </w:t>
      </w:r>
    </w:p>
    <w:p w14:paraId="2E9F26AA" w14:textId="77777777" w:rsidR="00A22EBD" w:rsidRDefault="00CC2EC1">
      <w:pPr>
        <w:numPr>
          <w:ilvl w:val="0"/>
          <w:numId w:val="1"/>
        </w:numPr>
        <w:spacing w:after="3" w:line="252" w:lineRule="auto"/>
        <w:ind w:right="226" w:hanging="238"/>
      </w:pPr>
      <w:r>
        <w:rPr>
          <w:color w:val="EC008B"/>
        </w:rPr>
        <w:t xml:space="preserve">Diagnostic evaluation(s): </w:t>
      </w:r>
      <w:r>
        <w:rPr>
          <w:i/>
          <w:color w:val="EC008B"/>
        </w:rPr>
        <w:t>[e.g., the diagnostic evaluative steps used to determine that the patient has ATTR-CM with light-chain amyloidosis excluded.]</w:t>
      </w:r>
      <w:r>
        <w:rPr>
          <w:i/>
        </w:rPr>
        <w:t xml:space="preserve"> </w:t>
      </w:r>
    </w:p>
    <w:p w14:paraId="2A9B1277" w14:textId="77777777" w:rsidR="00A22EBD" w:rsidRDefault="00CC2EC1">
      <w:pPr>
        <w:numPr>
          <w:ilvl w:val="0"/>
          <w:numId w:val="1"/>
        </w:numPr>
        <w:spacing w:after="6" w:line="256" w:lineRule="auto"/>
        <w:ind w:right="226" w:hanging="238"/>
      </w:pPr>
      <w:r>
        <w:rPr>
          <w:color w:val="EC008B"/>
        </w:rPr>
        <w:t>If applicable, genetic testing results</w:t>
      </w:r>
      <w:r>
        <w:t xml:space="preserve"> </w:t>
      </w:r>
    </w:p>
    <w:p w14:paraId="1A201661" w14:textId="77777777" w:rsidR="00A22EBD" w:rsidRDefault="00CC2EC1">
      <w:pPr>
        <w:numPr>
          <w:ilvl w:val="0"/>
          <w:numId w:val="1"/>
        </w:numPr>
        <w:spacing w:after="6" w:line="256" w:lineRule="auto"/>
        <w:ind w:right="226" w:hanging="238"/>
      </w:pPr>
      <w:r>
        <w:rPr>
          <w:color w:val="EC008B"/>
        </w:rPr>
        <w:t>Patient’s history and current condition</w:t>
      </w:r>
      <w:r>
        <w:t xml:space="preserve"> </w:t>
      </w:r>
    </w:p>
    <w:p w14:paraId="5C075516" w14:textId="77777777" w:rsidR="00A22EBD" w:rsidRDefault="00CC2EC1">
      <w:pPr>
        <w:numPr>
          <w:ilvl w:val="0"/>
          <w:numId w:val="1"/>
        </w:numPr>
        <w:spacing w:after="3" w:line="252" w:lineRule="auto"/>
        <w:ind w:right="226" w:hanging="238"/>
      </w:pPr>
      <w:r>
        <w:rPr>
          <w:color w:val="EC008B"/>
        </w:rPr>
        <w:t xml:space="preserve">Symptoms associated with ATTR-CM: </w:t>
      </w:r>
      <w:r>
        <w:rPr>
          <w:i/>
          <w:color w:val="EC008B"/>
        </w:rPr>
        <w:t>[e.g., the clinical evidence of heart failure.]</w:t>
      </w:r>
      <w:r>
        <w:rPr>
          <w:i/>
        </w:rPr>
        <w:t xml:space="preserve"> </w:t>
      </w:r>
    </w:p>
    <w:p w14:paraId="205822A2" w14:textId="77777777" w:rsidR="00A22EBD" w:rsidRDefault="00CC2EC1">
      <w:pPr>
        <w:numPr>
          <w:ilvl w:val="0"/>
          <w:numId w:val="1"/>
        </w:numPr>
        <w:spacing w:after="6" w:line="256" w:lineRule="auto"/>
        <w:ind w:right="226" w:hanging="238"/>
      </w:pPr>
      <w:r>
        <w:rPr>
          <w:color w:val="EC008B"/>
        </w:rPr>
        <w:t>Signs of ATTR-CM observed via imaging and/or cardiac biomarker tests</w:t>
      </w:r>
      <w:r>
        <w:t xml:space="preserve"> </w:t>
      </w:r>
    </w:p>
    <w:p w14:paraId="70355B11" w14:textId="77777777" w:rsidR="00A22EBD" w:rsidRDefault="00CC2EC1">
      <w:pPr>
        <w:numPr>
          <w:ilvl w:val="0"/>
          <w:numId w:val="1"/>
        </w:numPr>
        <w:spacing w:after="6" w:line="256" w:lineRule="auto"/>
        <w:ind w:right="226" w:hanging="238"/>
      </w:pPr>
      <w:r>
        <w:rPr>
          <w:color w:val="EC008B"/>
        </w:rPr>
        <w:t>Patient’s functional status</w:t>
      </w:r>
      <w:r>
        <w:t xml:space="preserve"> </w:t>
      </w:r>
    </w:p>
    <w:p w14:paraId="49F3A08C" w14:textId="77777777" w:rsidR="00A22EBD" w:rsidRDefault="00CC2EC1">
      <w:pPr>
        <w:numPr>
          <w:ilvl w:val="0"/>
          <w:numId w:val="1"/>
        </w:numPr>
        <w:spacing w:after="6" w:line="256" w:lineRule="auto"/>
        <w:ind w:right="226" w:hanging="238"/>
      </w:pPr>
      <w:r>
        <w:rPr>
          <w:color w:val="EC008B"/>
        </w:rPr>
        <w:t>Relevant comorbidities</w:t>
      </w:r>
      <w:r>
        <w:t xml:space="preserve"> </w:t>
      </w:r>
    </w:p>
    <w:p w14:paraId="226300FD" w14:textId="77777777" w:rsidR="00A22EBD" w:rsidRDefault="00CC2EC1">
      <w:pPr>
        <w:numPr>
          <w:ilvl w:val="0"/>
          <w:numId w:val="1"/>
        </w:numPr>
        <w:spacing w:after="6" w:line="256" w:lineRule="auto"/>
        <w:ind w:right="226" w:hanging="238"/>
      </w:pPr>
      <w:r>
        <w:rPr>
          <w:color w:val="EC008B"/>
        </w:rPr>
        <w:t>Cardiac device, such as pacemaker or implantable cardioverter defibrillator (ICD)</w:t>
      </w:r>
      <w:r>
        <w:t xml:space="preserve"> </w:t>
      </w:r>
    </w:p>
    <w:p w14:paraId="4B29B37D" w14:textId="77777777" w:rsidR="00A22EBD" w:rsidRDefault="00CC2EC1">
      <w:pPr>
        <w:numPr>
          <w:ilvl w:val="0"/>
          <w:numId w:val="1"/>
        </w:numPr>
        <w:spacing w:after="6" w:line="256" w:lineRule="auto"/>
        <w:ind w:right="226" w:hanging="238"/>
      </w:pPr>
      <w:r>
        <w:rPr>
          <w:color w:val="EC008B"/>
        </w:rPr>
        <w:t>Intracardiac mechanical assist device(s)</w:t>
      </w:r>
      <w:r>
        <w:t xml:space="preserve"> </w:t>
      </w:r>
    </w:p>
    <w:p w14:paraId="19D7AA7D" w14:textId="77777777" w:rsidR="00A22EBD" w:rsidRDefault="00CC2EC1">
      <w:pPr>
        <w:numPr>
          <w:ilvl w:val="0"/>
          <w:numId w:val="1"/>
        </w:numPr>
        <w:spacing w:after="6" w:line="256" w:lineRule="auto"/>
        <w:ind w:right="226" w:hanging="238"/>
      </w:pPr>
      <w:r>
        <w:rPr>
          <w:color w:val="EC008B"/>
        </w:rPr>
        <w:t>Previous and/or current treatments</w:t>
      </w:r>
      <w:r>
        <w:t xml:space="preserve"> </w:t>
      </w:r>
    </w:p>
    <w:p w14:paraId="01B43C5B" w14:textId="77777777" w:rsidR="00A22EBD" w:rsidRDefault="00CC2EC1">
      <w:pPr>
        <w:numPr>
          <w:ilvl w:val="0"/>
          <w:numId w:val="1"/>
        </w:numPr>
        <w:spacing w:after="6" w:line="256" w:lineRule="auto"/>
        <w:ind w:right="226" w:hanging="238"/>
      </w:pPr>
      <w:r>
        <w:rPr>
          <w:color w:val="EC008B"/>
        </w:rPr>
        <w:t>Summary of professional opinion of the patient’s likely prognosis or disease progression without treatment with VYNDAMAX</w:t>
      </w:r>
      <w:r>
        <w:t xml:space="preserve"> </w:t>
      </w:r>
    </w:p>
    <w:p w14:paraId="7A7C1259" w14:textId="77777777" w:rsidR="00A22EBD" w:rsidRDefault="00CC2EC1">
      <w:pPr>
        <w:spacing w:after="21"/>
        <w:ind w:left="776"/>
      </w:pPr>
      <w:r>
        <w:t xml:space="preserve"> </w:t>
      </w:r>
    </w:p>
    <w:p w14:paraId="04D8CF62" w14:textId="77777777" w:rsidR="00A22EBD" w:rsidRDefault="00CC2EC1">
      <w:pPr>
        <w:pStyle w:val="Heading1"/>
      </w:pPr>
      <w:r>
        <w:t>Rationale for Treatment with Vyndamax</w:t>
      </w:r>
      <w:r>
        <w:rPr>
          <w:color w:val="000000"/>
        </w:rPr>
        <w:t xml:space="preserve"> </w:t>
      </w:r>
    </w:p>
    <w:p w14:paraId="0C988E23" w14:textId="77777777" w:rsidR="00A22EBD" w:rsidRDefault="00CC2EC1">
      <w:pPr>
        <w:spacing w:after="66" w:line="252" w:lineRule="auto"/>
        <w:ind w:left="456" w:right="933" w:hanging="10"/>
      </w:pPr>
      <w:r>
        <w:rPr>
          <w:i/>
          <w:color w:val="EC008B"/>
        </w:rPr>
        <w:t>[Modify as appropriate based upon your independent medical judgment.]</w:t>
      </w:r>
      <w:r>
        <w:rPr>
          <w:i/>
        </w:rPr>
        <w:t xml:space="preserve"> </w:t>
      </w:r>
    </w:p>
    <w:p w14:paraId="53919CA5" w14:textId="77777777" w:rsidR="00A22EBD" w:rsidRDefault="00CC2EC1">
      <w:pPr>
        <w:spacing w:after="206" w:line="231" w:lineRule="auto"/>
        <w:ind w:left="456" w:right="1107" w:hanging="10"/>
        <w:jc w:val="both"/>
      </w:pPr>
      <w:r>
        <w:t xml:space="preserve">Based on the facts above and my clinical judgment, I believe that Vyndamax is specifically medically necessary for </w:t>
      </w:r>
      <w:r>
        <w:rPr>
          <w:color w:val="ED00A8"/>
        </w:rPr>
        <w:t>[Patient’s name]</w:t>
      </w:r>
      <w:r>
        <w:t xml:space="preserve">. </w:t>
      </w:r>
      <w:r>
        <w:rPr>
          <w:color w:val="ED00A8"/>
        </w:rPr>
        <w:t>[Provide a summary of the rationale for treatment with Vyndamax, including the severity of the patient’s condition, treatment goals, and other factors that have affected your treatment selection. Consider mentioning experts in the field who also support the use of Vyndamax, and/or any relevant clinical practice guidelines.]</w:t>
      </w:r>
      <w:r>
        <w:t xml:space="preserve"> </w:t>
      </w:r>
    </w:p>
    <w:p w14:paraId="14334E2B" w14:textId="77777777" w:rsidR="00A22EBD" w:rsidRDefault="00CC2EC1">
      <w:pPr>
        <w:spacing w:after="35" w:line="231" w:lineRule="auto"/>
        <w:ind w:left="456" w:right="1107" w:hanging="10"/>
        <w:jc w:val="both"/>
      </w:pPr>
      <w:r>
        <w:t xml:space="preserve">It is my professional opinion that, without treatment with Vyndamax, </w:t>
      </w:r>
      <w:r>
        <w:rPr>
          <w:color w:val="ED00A8"/>
        </w:rPr>
        <w:t xml:space="preserve">[Patient’s name] </w:t>
      </w:r>
      <w:r>
        <w:t xml:space="preserve">will </w:t>
      </w:r>
      <w:r>
        <w:rPr>
          <w:color w:val="ED00A8"/>
        </w:rPr>
        <w:t>[summary of patient’s disease progression and prognosis without treatment with Vyndamax, based on your clinical discretion].</w:t>
      </w:r>
      <w:r>
        <w:t xml:space="preserve"> </w:t>
      </w:r>
    </w:p>
    <w:p w14:paraId="0F4A9480" w14:textId="77777777" w:rsidR="00A22EBD" w:rsidRDefault="00CC2EC1">
      <w:pPr>
        <w:spacing w:after="0"/>
      </w:pPr>
      <w:r>
        <w:t xml:space="preserve"> </w:t>
      </w:r>
    </w:p>
    <w:p w14:paraId="3B2FB3EA" w14:textId="77777777" w:rsidR="00A22EBD" w:rsidRDefault="00CC2EC1">
      <w:pPr>
        <w:spacing w:after="49" w:line="241" w:lineRule="auto"/>
        <w:ind w:left="471" w:right="2196" w:hanging="10"/>
        <w:jc w:val="both"/>
      </w:pPr>
      <w:r>
        <w:t xml:space="preserve">The accompanying package insert provides the approved clinical information for VYNDAMAX. If you have further questions, please contact my office at </w:t>
      </w:r>
      <w:r>
        <w:rPr>
          <w:i/>
          <w:color w:val="EC008B"/>
        </w:rPr>
        <w:t>&lt;&lt;MD Primary Phone&gt;&gt;</w:t>
      </w:r>
      <w:r>
        <w:t xml:space="preserve">. Sincerely, </w:t>
      </w:r>
    </w:p>
    <w:p w14:paraId="3015E170" w14:textId="77777777" w:rsidR="00A22EBD" w:rsidRDefault="00CC2EC1">
      <w:pPr>
        <w:spacing w:after="32" w:line="252" w:lineRule="auto"/>
        <w:ind w:left="456" w:right="933" w:hanging="10"/>
      </w:pPr>
      <w:r>
        <w:rPr>
          <w:i/>
          <w:color w:val="EC008B"/>
        </w:rPr>
        <w:t>&lt;&lt;Physician Name&gt;&gt;</w:t>
      </w:r>
      <w:r>
        <w:rPr>
          <w:i/>
        </w:rPr>
        <w:t xml:space="preserve"> </w:t>
      </w:r>
    </w:p>
    <w:p w14:paraId="52765FD3" w14:textId="77777777" w:rsidR="00A22EBD" w:rsidRDefault="00CC2EC1">
      <w:pPr>
        <w:spacing w:after="3" w:line="252" w:lineRule="auto"/>
        <w:ind w:left="456" w:right="933" w:hanging="10"/>
      </w:pPr>
      <w:r>
        <w:rPr>
          <w:i/>
          <w:color w:val="EC008B"/>
        </w:rPr>
        <w:t>&lt;&lt;Provider Number&gt;&gt;</w:t>
      </w:r>
      <w:r>
        <w:rPr>
          <w:i/>
        </w:rPr>
        <w:t xml:space="preserve"> </w:t>
      </w:r>
    </w:p>
    <w:p w14:paraId="22470F33" w14:textId="77777777" w:rsidR="00A22EBD" w:rsidRDefault="00CC2EC1">
      <w:pPr>
        <w:spacing w:after="0"/>
      </w:pPr>
      <w:r>
        <w:rPr>
          <w:i/>
          <w:sz w:val="16"/>
        </w:rPr>
        <w:t xml:space="preserve"> </w:t>
      </w:r>
    </w:p>
    <w:p w14:paraId="1B1EE06F" w14:textId="77777777" w:rsidR="00A22EBD" w:rsidRDefault="00CC2EC1">
      <w:pPr>
        <w:spacing w:after="0"/>
      </w:pPr>
      <w:r>
        <w:rPr>
          <w:sz w:val="16"/>
        </w:rPr>
        <w:t xml:space="preserve"> </w:t>
      </w:r>
    </w:p>
    <w:p w14:paraId="0A94D20D" w14:textId="77777777" w:rsidR="00A22EBD" w:rsidRDefault="00CC2EC1">
      <w:pPr>
        <w:spacing w:after="0"/>
        <w:ind w:right="1874"/>
        <w:jc w:val="right"/>
      </w:pPr>
      <w:r>
        <w:rPr>
          <w:sz w:val="16"/>
        </w:rPr>
        <w:t xml:space="preserve"> </w:t>
      </w:r>
    </w:p>
    <w:p w14:paraId="0A4AFA64" w14:textId="77777777" w:rsidR="00A22EBD" w:rsidRDefault="00CC2EC1">
      <w:pPr>
        <w:spacing w:after="0"/>
        <w:ind w:right="1874"/>
        <w:jc w:val="right"/>
      </w:pPr>
      <w:r>
        <w:rPr>
          <w:sz w:val="16"/>
        </w:rPr>
        <w:t xml:space="preserve"> </w:t>
      </w:r>
    </w:p>
    <w:p w14:paraId="7974949C" w14:textId="77777777" w:rsidR="00A22EBD" w:rsidRDefault="00CC2EC1">
      <w:pPr>
        <w:spacing w:after="0"/>
        <w:ind w:right="1874"/>
        <w:jc w:val="right"/>
      </w:pPr>
      <w:r>
        <w:rPr>
          <w:sz w:val="16"/>
        </w:rPr>
        <w:t xml:space="preserve"> </w:t>
      </w:r>
    </w:p>
    <w:p w14:paraId="08760D0D" w14:textId="77777777" w:rsidR="00A22EBD" w:rsidRDefault="00CC2EC1">
      <w:pPr>
        <w:spacing w:after="0"/>
        <w:ind w:right="1874"/>
        <w:jc w:val="right"/>
      </w:pPr>
      <w:r>
        <w:rPr>
          <w:sz w:val="16"/>
        </w:rPr>
        <w:t xml:space="preserve"> </w:t>
      </w:r>
    </w:p>
    <w:p w14:paraId="33DF6040" w14:textId="77777777" w:rsidR="00A22EBD" w:rsidRDefault="00CC2EC1">
      <w:pPr>
        <w:spacing w:after="0"/>
        <w:ind w:right="1874"/>
        <w:jc w:val="right"/>
      </w:pPr>
      <w:r>
        <w:rPr>
          <w:sz w:val="16"/>
        </w:rPr>
        <w:t xml:space="preserve"> </w:t>
      </w:r>
    </w:p>
    <w:p w14:paraId="1B7C3764" w14:textId="77777777" w:rsidR="00A22EBD" w:rsidRDefault="00CC2EC1">
      <w:pPr>
        <w:spacing w:after="0"/>
        <w:ind w:right="1874"/>
        <w:jc w:val="right"/>
      </w:pPr>
      <w:r>
        <w:rPr>
          <w:sz w:val="16"/>
        </w:rPr>
        <w:t xml:space="preserve"> </w:t>
      </w:r>
    </w:p>
    <w:p w14:paraId="0765BD64" w14:textId="77777777" w:rsidR="00A22EBD" w:rsidRDefault="00CC2EC1">
      <w:pPr>
        <w:spacing w:after="0"/>
        <w:ind w:right="1874"/>
        <w:jc w:val="right"/>
      </w:pPr>
      <w:r>
        <w:rPr>
          <w:sz w:val="16"/>
        </w:rPr>
        <w:t xml:space="preserve"> </w:t>
      </w:r>
    </w:p>
    <w:p w14:paraId="474516CF" w14:textId="77777777" w:rsidR="00A9051F" w:rsidRDefault="00A9051F">
      <w:pPr>
        <w:spacing w:after="0"/>
        <w:ind w:left="8642"/>
        <w:rPr>
          <w:sz w:val="16"/>
        </w:rPr>
      </w:pPr>
    </w:p>
    <w:p w14:paraId="5D5B1CE4" w14:textId="60548CA4" w:rsidR="00A9051F" w:rsidRDefault="00A9051F">
      <w:pPr>
        <w:spacing w:after="0"/>
        <w:ind w:left="8642"/>
        <w:rPr>
          <w:sz w:val="16"/>
        </w:rPr>
      </w:pPr>
    </w:p>
    <w:p w14:paraId="0A5233EA" w14:textId="26A46824" w:rsidR="00A22EBD" w:rsidRDefault="00CC2EC1" w:rsidP="00A9051F">
      <w:pPr>
        <w:spacing w:after="0"/>
        <w:ind w:left="8642"/>
      </w:pPr>
      <w:r>
        <w:rPr>
          <w:noProof/>
        </w:rPr>
        <mc:AlternateContent>
          <mc:Choice Requires="wps">
            <w:drawing>
              <wp:anchor distT="0" distB="0" distL="114300" distR="114300" simplePos="0" relativeHeight="251661312" behindDoc="0" locked="0" layoutInCell="1" allowOverlap="1" wp14:anchorId="364260D0" wp14:editId="26553300">
                <wp:simplePos x="0" y="0"/>
                <wp:positionH relativeFrom="margin">
                  <wp:posOffset>5650302</wp:posOffset>
                </wp:positionH>
                <wp:positionV relativeFrom="paragraph">
                  <wp:posOffset>292664</wp:posOffset>
                </wp:positionV>
                <wp:extent cx="1259457" cy="163902"/>
                <wp:effectExtent l="0" t="0" r="0" b="7620"/>
                <wp:wrapNone/>
                <wp:docPr id="653176287" name="Text Box 2"/>
                <wp:cNvGraphicFramePr/>
                <a:graphic xmlns:a="http://schemas.openxmlformats.org/drawingml/2006/main">
                  <a:graphicData uri="http://schemas.microsoft.com/office/word/2010/wordprocessingShape">
                    <wps:wsp>
                      <wps:cNvSpPr txBox="1"/>
                      <wps:spPr>
                        <a:xfrm>
                          <a:off x="0" y="0"/>
                          <a:ext cx="1259457" cy="163902"/>
                        </a:xfrm>
                        <a:prstGeom prst="rect">
                          <a:avLst/>
                        </a:prstGeom>
                        <a:noFill/>
                        <a:ln w="6350">
                          <a:noFill/>
                        </a:ln>
                      </wps:spPr>
                      <wps:txbx>
                        <w:txbxContent>
                          <w:p w14:paraId="09710C2F" w14:textId="77777777" w:rsidR="00CC2EC1" w:rsidRPr="008A5CEE" w:rsidRDefault="00CC2EC1" w:rsidP="00CC2EC1">
                            <w:pPr>
                              <w:spacing w:line="240" w:lineRule="auto"/>
                              <w:rPr>
                                <w:color w:val="auto"/>
                                <w:sz w:val="16"/>
                                <w:szCs w:val="18"/>
                              </w:rPr>
                            </w:pPr>
                            <w:r>
                              <w:rPr>
                                <w:sz w:val="16"/>
                              </w:rPr>
                              <w:t>Continued on next page</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4260D0" id="_x0000_s1027" type="#_x0000_t202" style="position:absolute;left:0;text-align:left;margin-left:444.9pt;margin-top:23.05pt;width:99.15pt;height:1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" filled="f" stroked="f" strokeweight=".5pt">
                <v:textbox inset=",0,,0">
                  <w:txbxContent>
                    <w:p w14:paraId="09710C2F" w14:textId="77777777" w:rsidR="00CC2EC1" w:rsidRPr="008A5CEE" w:rsidRDefault="00CC2EC1" w:rsidP="00CC2EC1">
                      <w:pPr>
                        <w:spacing w:line="240" w:lineRule="auto"/>
                        <w:rPr>
                          <w:color w:val="auto"/>
                          <w:sz w:val="16"/>
                          <w:szCs w:val="18"/>
                        </w:rPr>
                      </w:pPr>
                      <w:proofErr w:type="gramStart"/>
                      <w:r>
                        <w:rPr>
                          <w:sz w:val="16"/>
                        </w:rPr>
                        <w:t>Continued on</w:t>
                      </w:r>
                      <w:proofErr w:type="gramEnd"/>
                      <w:r>
                        <w:rPr>
                          <w:sz w:val="16"/>
                        </w:rPr>
                        <w:t xml:space="preserve"> next page</w:t>
                      </w:r>
                    </w:p>
                  </w:txbxContent>
                </v:textbox>
                <w10:wrap anchorx="margin"/>
              </v:shape>
            </w:pict>
          </mc:Fallback>
        </mc:AlternateContent>
      </w:r>
    </w:p>
    <w:p w14:paraId="0E9E4664" w14:textId="77777777" w:rsidR="00A22EBD" w:rsidRDefault="00CC2EC1">
      <w:pPr>
        <w:pStyle w:val="Heading1"/>
        <w:ind w:left="189"/>
      </w:pPr>
      <w:r>
        <w:lastRenderedPageBreak/>
        <w:t>INDICATION</w:t>
      </w:r>
      <w:r>
        <w:rPr>
          <w:color w:val="000000"/>
        </w:rPr>
        <w:t xml:space="preserve"> </w:t>
      </w:r>
    </w:p>
    <w:p w14:paraId="68FF2E83" w14:textId="77777777" w:rsidR="00A22EBD" w:rsidRDefault="00CC2EC1">
      <w:pPr>
        <w:spacing w:after="132" w:line="241" w:lineRule="auto"/>
        <w:ind w:left="185" w:right="601" w:hanging="10"/>
        <w:jc w:val="both"/>
      </w:pPr>
      <w:r>
        <w:t xml:space="preserve">VYNDAQEL and VYNDAMAX are indicated for the treatment of the cardiomyopathy of wild-type or hereditary transthyretin-mediated amyloidosis in adults to reduce cardiovascular mortality and cardiovascular-related hospitalization. </w:t>
      </w:r>
    </w:p>
    <w:p w14:paraId="20A83CAC" w14:textId="77777777" w:rsidR="00A22EBD" w:rsidRDefault="00CC2EC1">
      <w:pPr>
        <w:pStyle w:val="Heading1"/>
        <w:ind w:left="189"/>
      </w:pPr>
      <w:r>
        <w:t>IMPORTANT SAFETY INFORMATION</w:t>
      </w:r>
      <w:r>
        <w:rPr>
          <w:color w:val="000000"/>
        </w:rPr>
        <w:t xml:space="preserve"> </w:t>
      </w:r>
    </w:p>
    <w:p w14:paraId="712C473B" w14:textId="77777777" w:rsidR="00A22EBD" w:rsidRDefault="00CC2EC1">
      <w:pPr>
        <w:spacing w:after="0"/>
        <w:ind w:left="200" w:hanging="10"/>
      </w:pPr>
      <w:r>
        <w:rPr>
          <w:b/>
        </w:rPr>
        <w:t xml:space="preserve">Adverse Reactions </w:t>
      </w:r>
    </w:p>
    <w:p w14:paraId="4AB59DD7" w14:textId="77777777" w:rsidR="00A22EBD" w:rsidRDefault="00CC2EC1">
      <w:pPr>
        <w:spacing w:after="132" w:line="241" w:lineRule="auto"/>
        <w:ind w:left="185" w:right="601" w:hanging="10"/>
        <w:jc w:val="both"/>
      </w:pPr>
      <w:r>
        <w:t xml:space="preserve">In studies in patients with ATTR-CM, the frequency of adverse events in patients treated with VYNDAQEL was similar to placebo. </w:t>
      </w:r>
    </w:p>
    <w:p w14:paraId="3475213D" w14:textId="77777777" w:rsidR="00A22EBD" w:rsidRDefault="00CC2EC1" w:rsidP="001E478A">
      <w:pPr>
        <w:pStyle w:val="Heading1"/>
        <w:ind w:left="195"/>
      </w:pPr>
      <w:r>
        <w:t xml:space="preserve">Specific Populations </w:t>
      </w:r>
    </w:p>
    <w:p w14:paraId="0C88FCBA" w14:textId="77777777" w:rsidR="00A22EBD" w:rsidRDefault="00CC2EC1">
      <w:pPr>
        <w:spacing w:after="132" w:line="241" w:lineRule="auto"/>
        <w:ind w:left="185" w:right="601" w:hanging="10"/>
        <w:jc w:val="both"/>
      </w:pPr>
      <w:r>
        <w:rPr>
          <w:b/>
        </w:rPr>
        <w:t xml:space="preserve">Pregnancy: </w:t>
      </w:r>
      <w:r>
        <w:t xml:space="preserve">Based on findings from animal studies, VYNDAQEL and VYNDAMAX may cause fetal harm when administered to a pregnant woman. </w:t>
      </w:r>
    </w:p>
    <w:p w14:paraId="7E541DB2" w14:textId="69FA3B7D" w:rsidR="00A22EBD" w:rsidRDefault="00CC2EC1">
      <w:pPr>
        <w:spacing w:after="132" w:line="241" w:lineRule="auto"/>
        <w:ind w:left="185" w:right="601" w:hanging="10"/>
        <w:jc w:val="both"/>
      </w:pPr>
      <w:r>
        <w:rPr>
          <w:b/>
        </w:rPr>
        <w:t xml:space="preserve">Lactation: </w:t>
      </w:r>
      <w:r>
        <w:t xml:space="preserve">There are no available data on the presence of tafamidis in human milk, the effect on the breastfed infant, or the effect on milk production. Tafamidis is present in rat milk. When a drug is present in animal milk, it is likely the drug will be present in human milk. Breastfeeding is not recommended during treatment with VYNDAQEL and VYNDAMAX. </w:t>
      </w:r>
    </w:p>
    <w:p w14:paraId="7C04235B" w14:textId="40EF7863" w:rsidR="00A22EBD" w:rsidRDefault="00CC2EC1">
      <w:pPr>
        <w:spacing w:after="88"/>
        <w:ind w:left="192"/>
      </w:pPr>
      <w:r>
        <w:rPr>
          <w:b/>
        </w:rPr>
        <w:t>Please see</w:t>
      </w:r>
      <w:hyperlink r:id="rId7">
        <w:r>
          <w:rPr>
            <w:b/>
          </w:rPr>
          <w:t xml:space="preserve"> </w:t>
        </w:r>
      </w:hyperlink>
      <w:hyperlink r:id="rId8">
        <w:r>
          <w:rPr>
            <w:b/>
            <w:color w:val="045E82"/>
            <w:u w:val="single" w:color="045E82"/>
          </w:rPr>
          <w:t>Full</w:t>
        </w:r>
      </w:hyperlink>
      <w:hyperlink r:id="rId9">
        <w:r>
          <w:rPr>
            <w:b/>
            <w:color w:val="045E82"/>
            <w:u w:val="single" w:color="045E82"/>
          </w:rPr>
          <w:t xml:space="preserve"> </w:t>
        </w:r>
      </w:hyperlink>
      <w:hyperlink r:id="rId10">
        <w:r>
          <w:rPr>
            <w:b/>
            <w:color w:val="045E82"/>
            <w:u w:val="single" w:color="045E82"/>
          </w:rPr>
          <w:t>Prescribing</w:t>
        </w:r>
      </w:hyperlink>
      <w:hyperlink r:id="rId11">
        <w:r>
          <w:rPr>
            <w:b/>
            <w:color w:val="045E82"/>
            <w:u w:val="single" w:color="045E82"/>
          </w:rPr>
          <w:t xml:space="preserve"> </w:t>
        </w:r>
      </w:hyperlink>
      <w:hyperlink r:id="rId12">
        <w:r>
          <w:rPr>
            <w:b/>
            <w:color w:val="045E82"/>
            <w:u w:val="single" w:color="045E82"/>
          </w:rPr>
          <w:t>Information</w:t>
        </w:r>
      </w:hyperlink>
      <w:hyperlink r:id="rId13">
        <w:r>
          <w:rPr>
            <w:b/>
            <w:color w:val="045E82"/>
            <w:u w:val="single" w:color="045E82"/>
          </w:rPr>
          <w:t xml:space="preserve"> </w:t>
        </w:r>
      </w:hyperlink>
      <w:hyperlink r:id="rId14">
        <w:r>
          <w:rPr>
            <w:b/>
            <w:color w:val="045E82"/>
            <w:u w:val="single" w:color="045E82"/>
          </w:rPr>
          <w:t>including</w:t>
        </w:r>
      </w:hyperlink>
      <w:hyperlink r:id="rId15">
        <w:r>
          <w:rPr>
            <w:b/>
            <w:color w:val="045E82"/>
            <w:u w:val="single" w:color="045E82"/>
          </w:rPr>
          <w:t xml:space="preserve"> </w:t>
        </w:r>
      </w:hyperlink>
      <w:hyperlink r:id="rId16">
        <w:r>
          <w:rPr>
            <w:b/>
            <w:color w:val="045E82"/>
            <w:u w:val="single" w:color="045E82"/>
          </w:rPr>
          <w:t>Patient</w:t>
        </w:r>
      </w:hyperlink>
      <w:hyperlink r:id="rId17">
        <w:r>
          <w:rPr>
            <w:b/>
            <w:color w:val="045E82"/>
            <w:u w:val="single" w:color="045E82"/>
          </w:rPr>
          <w:t xml:space="preserve"> </w:t>
        </w:r>
      </w:hyperlink>
      <w:hyperlink r:id="rId18">
        <w:r>
          <w:rPr>
            <w:b/>
            <w:color w:val="045E82"/>
            <w:u w:val="single" w:color="045E82"/>
          </w:rPr>
          <w:t>Information</w:t>
        </w:r>
      </w:hyperlink>
      <w:hyperlink r:id="rId19">
        <w:r>
          <w:rPr>
            <w:b/>
          </w:rPr>
          <w:t>.</w:t>
        </w:r>
      </w:hyperlink>
      <w:r>
        <w:rPr>
          <w:b/>
        </w:rPr>
        <w:t xml:space="preserve"> </w:t>
      </w:r>
    </w:p>
    <w:p w14:paraId="45CD5744" w14:textId="77777777" w:rsidR="00A22EBD" w:rsidRDefault="00CC2EC1">
      <w:pPr>
        <w:spacing w:after="2" w:line="233" w:lineRule="auto"/>
        <w:ind w:left="185" w:right="800" w:hanging="10"/>
        <w:jc w:val="both"/>
      </w:pPr>
      <w:r>
        <w:rPr>
          <w:b/>
          <w:sz w:val="21"/>
        </w:rPr>
        <w:t xml:space="preserve">References: 1. </w:t>
      </w:r>
      <w:r>
        <w:rPr>
          <w:sz w:val="21"/>
        </w:rPr>
        <w:t xml:space="preserve">Amyloidosis Foundation. Understanding the patient voice in hereditary transthyretin-mediated amyloidosis (ATTR amyloidosis). </w:t>
      </w:r>
      <w:hyperlink r:id="rId20">
        <w:r>
          <w:rPr>
            <w:sz w:val="21"/>
          </w:rPr>
          <w:t>http://amyloidosissupport.org/support_groups/fam_isabell_attr.pdf.</w:t>
        </w:r>
      </w:hyperlink>
      <w:hyperlink r:id="rId21">
        <w:r>
          <w:rPr>
            <w:sz w:val="21"/>
          </w:rPr>
          <w:t xml:space="preserve"> </w:t>
        </w:r>
      </w:hyperlink>
      <w:r>
        <w:rPr>
          <w:sz w:val="21"/>
        </w:rPr>
        <w:t xml:space="preserve">Accessed March 6, 2020. </w:t>
      </w:r>
      <w:r>
        <w:rPr>
          <w:b/>
          <w:sz w:val="21"/>
        </w:rPr>
        <w:t xml:space="preserve">2. </w:t>
      </w:r>
      <w:r>
        <w:rPr>
          <w:sz w:val="21"/>
        </w:rPr>
        <w:t xml:space="preserve">National Center for Biotechnology Information (NCBI). Transthyretin (TTR) Cardiac Amyloidosis. </w:t>
      </w:r>
    </w:p>
    <w:p w14:paraId="71999342" w14:textId="77777777" w:rsidR="00A22EBD" w:rsidRDefault="00CC2EC1">
      <w:pPr>
        <w:spacing w:after="71" w:line="233" w:lineRule="auto"/>
        <w:ind w:left="185" w:right="800" w:hanging="10"/>
        <w:jc w:val="both"/>
      </w:pPr>
      <w:r>
        <w:rPr>
          <w:sz w:val="21"/>
        </w:rPr>
        <w:t>http</w:t>
      </w:r>
      <w:hyperlink r:id="rId22">
        <w:r>
          <w:rPr>
            <w:sz w:val="21"/>
          </w:rPr>
          <w:t>s://www.ncbi.nlm.nih.gov/pmc/article/PMC3501197.</w:t>
        </w:r>
      </w:hyperlink>
      <w:hyperlink r:id="rId23">
        <w:r>
          <w:rPr>
            <w:sz w:val="21"/>
          </w:rPr>
          <w:t xml:space="preserve"> </w:t>
        </w:r>
      </w:hyperlink>
      <w:r>
        <w:rPr>
          <w:sz w:val="21"/>
        </w:rPr>
        <w:t xml:space="preserve">Accessed March 6, 2020. </w:t>
      </w:r>
    </w:p>
    <w:p w14:paraId="2BB336BA" w14:textId="77777777" w:rsidR="00A22EBD" w:rsidRDefault="00CC2EC1">
      <w:pPr>
        <w:spacing w:after="0"/>
      </w:pPr>
      <w:r>
        <w:t xml:space="preserve"> </w:t>
      </w:r>
    </w:p>
    <w:p w14:paraId="154738D7" w14:textId="77777777" w:rsidR="00A22EBD" w:rsidRDefault="00CC2EC1">
      <w:pPr>
        <w:spacing w:after="91"/>
        <w:ind w:left="113"/>
      </w:pPr>
      <w:r>
        <w:rPr>
          <w:b/>
          <w:color w:val="116789"/>
          <w:u w:val="single" w:color="116789"/>
        </w:rPr>
        <w:t>Potential Additional References</w:t>
      </w:r>
      <w:r>
        <w:rPr>
          <w:b/>
        </w:rPr>
        <w:t xml:space="preserve"> </w:t>
      </w:r>
    </w:p>
    <w:p w14:paraId="685C5D94" w14:textId="77777777" w:rsidR="00A22EBD" w:rsidRDefault="00CC2EC1">
      <w:pPr>
        <w:numPr>
          <w:ilvl w:val="0"/>
          <w:numId w:val="2"/>
        </w:numPr>
        <w:spacing w:after="0" w:line="241" w:lineRule="auto"/>
        <w:ind w:right="601" w:hanging="214"/>
        <w:jc w:val="both"/>
      </w:pPr>
      <w:r>
        <w:t xml:space="preserve">Maurer MS, Schwartz JH, et al. Tafamidis Treatment for Patients with Transthyretin Amyloid Cardiomyopathy. N Engl J Med. 2018;379(11):1007–1016. DOI: 10.1056/NEJMoa1805689. </w:t>
      </w:r>
    </w:p>
    <w:p w14:paraId="32C725EC" w14:textId="1C5F7078" w:rsidR="00A22EBD" w:rsidRDefault="00CC2EC1" w:rsidP="001E478A">
      <w:pPr>
        <w:numPr>
          <w:ilvl w:val="0"/>
          <w:numId w:val="2"/>
        </w:numPr>
        <w:spacing w:after="0" w:line="241" w:lineRule="auto"/>
        <w:ind w:right="601" w:hanging="214"/>
        <w:jc w:val="both"/>
      </w:pPr>
      <w:r>
        <w:t>Damy T, et al. Long-term extension of the ATTR-ACT trial confirms survival benefit of tafamidis. Eur J Heart Fail. 2021. Pfizer Press Release: http</w:t>
      </w:r>
      <w:hyperlink r:id="rId24">
        <w:r>
          <w:t>s://www.pfizer.com/news/press</w:t>
        </w:r>
      </w:hyperlink>
      <w:hyperlink r:id="rId25">
        <w:r>
          <w:t>-</w:t>
        </w:r>
      </w:hyperlink>
      <w:hyperlink r:id="rId26">
        <w:r>
          <w:t>release/press</w:t>
        </w:r>
      </w:hyperlink>
      <w:hyperlink r:id="rId27">
        <w:r>
          <w:t>-</w:t>
        </w:r>
      </w:hyperlink>
      <w:hyperlink r:id="rId28">
        <w:r>
          <w:t>release</w:t>
        </w:r>
      </w:hyperlink>
      <w:hyperlink r:id="rId29">
        <w:r>
          <w:t>-</w:t>
        </w:r>
      </w:hyperlink>
      <w:hyperlink r:id="rId30">
        <w:r>
          <w:t>detail/analysis</w:t>
        </w:r>
      </w:hyperlink>
      <w:hyperlink r:id="rId31">
        <w:r>
          <w:t>-</w:t>
        </w:r>
      </w:hyperlink>
      <w:hyperlink r:id="rId32">
        <w:r>
          <w:t>phase</w:t>
        </w:r>
      </w:hyperlink>
      <w:hyperlink r:id="rId33">
        <w:r>
          <w:t>-</w:t>
        </w:r>
      </w:hyperlink>
      <w:hyperlink r:id="rId34">
        <w:r>
          <w:t>3</w:t>
        </w:r>
      </w:hyperlink>
      <w:hyperlink r:id="rId35">
        <w:r>
          <w:t>-</w:t>
        </w:r>
      </w:hyperlink>
      <w:hyperlink r:id="rId36">
        <w:r>
          <w:t>attr</w:t>
        </w:r>
      </w:hyperlink>
      <w:hyperlink r:id="rId37">
        <w:r>
          <w:t>-</w:t>
        </w:r>
      </w:hyperlink>
      <w:hyperlink r:id="rId38">
        <w:r>
          <w:t>act</w:t>
        </w:r>
      </w:hyperlink>
      <w:hyperlink r:id="rId39">
        <w:r>
          <w:t>-</w:t>
        </w:r>
      </w:hyperlink>
      <w:hyperlink r:id="rId40">
        <w:r>
          <w:t>and</w:t>
        </w:r>
      </w:hyperlink>
      <w:hyperlink r:id="rId41">
        <w:r>
          <w:t>-</w:t>
        </w:r>
      </w:hyperlink>
      <w:hyperlink r:id="rId42">
        <w:r>
          <w:t>its</w:t>
        </w:r>
      </w:hyperlink>
      <w:hyperlink r:id="rId43">
        <w:r>
          <w:t>-</w:t>
        </w:r>
      </w:hyperlink>
      <w:hyperlink r:id="rId44">
        <w:r>
          <w:t>long</w:t>
        </w:r>
      </w:hyperlink>
      <w:hyperlink r:id="rId45">
        <w:r>
          <w:t>-</w:t>
        </w:r>
      </w:hyperlink>
      <w:hyperlink r:id="rId46">
        <w:r>
          <w:t>term</w:t>
        </w:r>
      </w:hyperlink>
      <w:hyperlink r:id="rId47">
        <w:r>
          <w:t xml:space="preserve">- </w:t>
        </w:r>
      </w:hyperlink>
      <w:r>
        <w:t xml:space="preserve">extension-study </w:t>
      </w:r>
    </w:p>
    <w:p w14:paraId="23FC5B63" w14:textId="2B7A64F6" w:rsidR="00A22EBD" w:rsidRDefault="00CC2EC1" w:rsidP="001E478A">
      <w:pPr>
        <w:numPr>
          <w:ilvl w:val="0"/>
          <w:numId w:val="2"/>
        </w:numPr>
        <w:spacing w:after="0" w:line="241" w:lineRule="auto"/>
        <w:ind w:right="601" w:hanging="214"/>
        <w:jc w:val="both"/>
      </w:pPr>
      <w:r>
        <w:t xml:space="preserve">Masri A, Bhattacharya P, Medoff B, et al. A multicenter study of contemporary long-term tafamidis outcomes in transthyretin amyloid cardiomyopathy. JACC: CardioOncology. 2025. DOI: 10.1016/j.jaccao.2024.12.005 </w:t>
      </w:r>
    </w:p>
    <w:p w14:paraId="234AA27C" w14:textId="77777777" w:rsidR="00A22EBD" w:rsidRDefault="00CC2EC1">
      <w:pPr>
        <w:numPr>
          <w:ilvl w:val="0"/>
          <w:numId w:val="2"/>
        </w:numPr>
        <w:spacing w:after="17" w:line="241" w:lineRule="auto"/>
        <w:ind w:right="601" w:hanging="214"/>
        <w:jc w:val="both"/>
      </w:pPr>
      <w:r>
        <w:t xml:space="preserve">Pfizer Clinical Pharmacology Data. https://vyndamax.pfizerpro.com/about-vyndamax/5-year-data </w:t>
      </w:r>
    </w:p>
    <w:p w14:paraId="49F8A2F2" w14:textId="7585CDD0" w:rsidR="00013E53" w:rsidRDefault="00CC2EC1" w:rsidP="00013E53">
      <w:pPr>
        <w:numPr>
          <w:ilvl w:val="0"/>
          <w:numId w:val="2"/>
        </w:numPr>
        <w:spacing w:after="0" w:line="241" w:lineRule="auto"/>
        <w:ind w:right="601" w:hanging="214"/>
        <w:jc w:val="both"/>
      </w:pPr>
      <w:r>
        <w:t xml:space="preserve">Ruberg FL, Grogan M, Hanna M, Kelly JW, Maurer MS. Transthyretin Amyloid Cardiomyopathy: JACC State-of-the-Art Review. J Am Coll Cardiol. 2019;73:2872–91. </w:t>
      </w:r>
      <w:r w:rsidR="00013E53" w:rsidRPr="00013E53">
        <w:t>https://doi.org/10.1016/j.jacc.2019.04.003.</w:t>
      </w:r>
    </w:p>
    <w:p w14:paraId="7874EEE7" w14:textId="77777777" w:rsidR="009959C6" w:rsidRDefault="00CC2EC1" w:rsidP="009959C6">
      <w:pPr>
        <w:numPr>
          <w:ilvl w:val="0"/>
          <w:numId w:val="2"/>
        </w:numPr>
        <w:spacing w:after="0" w:line="241" w:lineRule="auto"/>
        <w:ind w:right="601" w:hanging="214"/>
        <w:jc w:val="both"/>
      </w:pPr>
      <w:r>
        <w:t xml:space="preserve">Maurer MS, Grogan DR, Judge DP, et al. Tafamidis in transthyretin amyloid cardiomyopathy: effects on transthyretin stabilization and clinical outcomes. Circ Heart Fail. 2015;8:519–26. https://doi.org/10.1161/circheartfailure.113.000890. </w:t>
      </w:r>
    </w:p>
    <w:p w14:paraId="4A6100DC" w14:textId="5D82A807" w:rsidR="00A22EBD" w:rsidRDefault="00CC2EC1" w:rsidP="009959C6">
      <w:pPr>
        <w:numPr>
          <w:ilvl w:val="0"/>
          <w:numId w:val="2"/>
        </w:numPr>
        <w:spacing w:after="0" w:line="241" w:lineRule="auto"/>
        <w:ind w:right="601" w:hanging="214"/>
        <w:jc w:val="both"/>
      </w:pPr>
      <w:r>
        <w:t>Powers, E.T., Amass, L., Baylor, L. et al. Transthyretin Kinetic Stabilizers for ATTR Amyloidosis: A Narrative</w:t>
      </w:r>
      <w:r w:rsidR="009959C6">
        <w:t xml:space="preserve"> </w:t>
      </w:r>
      <w:r>
        <w:t xml:space="preserve">Review of Mechanisms and Therapeutic Benefits. Cardiol Ther (2025). https://doi.org/10.1007/s40119-025-00423-7 </w:t>
      </w:r>
    </w:p>
    <w:p w14:paraId="066AE373" w14:textId="77777777" w:rsidR="00A22EBD" w:rsidRDefault="00CC2EC1">
      <w:pPr>
        <w:spacing w:after="12"/>
      </w:pPr>
      <w:r>
        <w:rPr>
          <w:sz w:val="16"/>
        </w:rPr>
        <w:t xml:space="preserve"> </w:t>
      </w:r>
    </w:p>
    <w:p w14:paraId="4DA458FE" w14:textId="77777777" w:rsidR="00A22EBD" w:rsidRDefault="00CC2EC1">
      <w:pPr>
        <w:spacing w:after="15"/>
        <w:ind w:left="396"/>
      </w:pPr>
      <w:r>
        <w:rPr>
          <w:sz w:val="16"/>
        </w:rPr>
        <w:t xml:space="preserve">*This sample letter of medical necessity can be modified for patients who have been prescribed VYNDAQEL® (tafamidis meglumine). </w:t>
      </w:r>
    </w:p>
    <w:p w14:paraId="34F6D42D" w14:textId="77777777" w:rsidR="00A22EBD" w:rsidRDefault="00CC2EC1">
      <w:pPr>
        <w:spacing w:after="143"/>
      </w:pPr>
      <w:r>
        <w:rPr>
          <w:sz w:val="16"/>
        </w:rPr>
        <w:t xml:space="preserve"> </w:t>
      </w:r>
    </w:p>
    <w:p w14:paraId="7C369C42" w14:textId="77777777" w:rsidR="00A22EBD" w:rsidRDefault="00CC2EC1">
      <w:pPr>
        <w:spacing w:after="0"/>
      </w:pPr>
      <w:r>
        <w:rPr>
          <w:sz w:val="16"/>
        </w:rPr>
        <w:t xml:space="preserve"> </w:t>
      </w:r>
    </w:p>
    <w:p w14:paraId="56158EFB" w14:textId="21133C08" w:rsidR="00A22EBD" w:rsidRDefault="00CC2EC1">
      <w:pPr>
        <w:spacing w:after="0"/>
        <w:ind w:left="471"/>
      </w:pPr>
      <w:r>
        <w:rPr>
          <w:color w:val="ED00A8"/>
          <w:sz w:val="16"/>
        </w:rPr>
        <w:t xml:space="preserve"> </w:t>
      </w:r>
    </w:p>
    <w:sectPr w:rsidR="00A22EBD">
      <w:footerReference w:type="even" r:id="rId48"/>
      <w:footerReference w:type="default" r:id="rId49"/>
      <w:footerReference w:type="first" r:id="rId50"/>
      <w:pgSz w:w="12240" w:h="15840"/>
      <w:pgMar w:top="492" w:right="709" w:bottom="710" w:left="979" w:header="720" w:footer="3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8F9A0" w14:textId="77777777" w:rsidR="009E160F" w:rsidRDefault="009E160F">
      <w:pPr>
        <w:spacing w:after="0" w:line="240" w:lineRule="auto"/>
      </w:pPr>
      <w:r>
        <w:separator/>
      </w:r>
    </w:p>
  </w:endnote>
  <w:endnote w:type="continuationSeparator" w:id="0">
    <w:p w14:paraId="041992BB" w14:textId="77777777" w:rsidR="009E160F" w:rsidRDefault="009E1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CD452" w14:textId="77777777" w:rsidR="00A22EBD" w:rsidRDefault="00CC2EC1">
    <w:pPr>
      <w:spacing w:after="0"/>
      <w:ind w:left="-979" w:right="11531"/>
    </w:pPr>
    <w:r>
      <w:rPr>
        <w:noProof/>
      </w:rPr>
      <w:drawing>
        <wp:anchor distT="0" distB="0" distL="114300" distR="114300" simplePos="0" relativeHeight="251658240" behindDoc="0" locked="0" layoutInCell="1" allowOverlap="0" wp14:anchorId="6A7ED4D5" wp14:editId="1EB7D49C">
          <wp:simplePos x="0" y="0"/>
          <wp:positionH relativeFrom="page">
            <wp:posOffset>6262751</wp:posOffset>
          </wp:positionH>
          <wp:positionV relativeFrom="page">
            <wp:posOffset>9426333</wp:posOffset>
          </wp:positionV>
          <wp:extent cx="1115695" cy="426327"/>
          <wp:effectExtent l="0" t="0" r="0" b="0"/>
          <wp:wrapSquare wrapText="bothSides"/>
          <wp:docPr id="366" name="Picture 366"/>
          <wp:cNvGraphicFramePr/>
          <a:graphic xmlns:a="http://schemas.openxmlformats.org/drawingml/2006/main">
            <a:graphicData uri="http://schemas.openxmlformats.org/drawingml/2006/picture">
              <pic:pic xmlns:pic="http://schemas.openxmlformats.org/drawingml/2006/picture">
                <pic:nvPicPr>
                  <pic:cNvPr id="366" name="Picture 366"/>
                  <pic:cNvPicPr/>
                </pic:nvPicPr>
                <pic:blipFill>
                  <a:blip r:embed="rId1"/>
                  <a:stretch>
                    <a:fillRect/>
                  </a:stretch>
                </pic:blipFill>
                <pic:spPr>
                  <a:xfrm>
                    <a:off x="0" y="0"/>
                    <a:ext cx="1115695" cy="426327"/>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3D9BE" w14:textId="54861D7B" w:rsidR="00A22EBD" w:rsidRDefault="007C463B">
    <w:pPr>
      <w:spacing w:after="0"/>
      <w:ind w:left="-979" w:right="11531"/>
    </w:pPr>
    <w:r>
      <w:rPr>
        <w:noProof/>
      </w:rPr>
      <mc:AlternateContent>
        <mc:Choice Requires="wps">
          <w:drawing>
            <wp:anchor distT="0" distB="0" distL="114300" distR="114300" simplePos="0" relativeHeight="251662336" behindDoc="0" locked="0" layoutInCell="1" allowOverlap="1" wp14:anchorId="3825E6A7" wp14:editId="15FF3BAB">
              <wp:simplePos x="0" y="0"/>
              <wp:positionH relativeFrom="margin">
                <wp:align>center</wp:align>
              </wp:positionH>
              <wp:positionV relativeFrom="paragraph">
                <wp:posOffset>25880</wp:posOffset>
              </wp:positionV>
              <wp:extent cx="4123055" cy="301625"/>
              <wp:effectExtent l="0" t="0" r="0" b="3175"/>
              <wp:wrapNone/>
              <wp:docPr id="15122629" name="Text Box 2"/>
              <wp:cNvGraphicFramePr/>
              <a:graphic xmlns:a="http://schemas.openxmlformats.org/drawingml/2006/main">
                <a:graphicData uri="http://schemas.microsoft.com/office/word/2010/wordprocessingShape">
                  <wps:wsp>
                    <wps:cNvSpPr txBox="1"/>
                    <wps:spPr>
                      <a:xfrm>
                        <a:off x="0" y="0"/>
                        <a:ext cx="4123055" cy="301625"/>
                      </a:xfrm>
                      <a:prstGeom prst="rect">
                        <a:avLst/>
                      </a:prstGeom>
                      <a:noFill/>
                      <a:ln w="6350">
                        <a:noFill/>
                      </a:ln>
                    </wps:spPr>
                    <wps:txbx>
                      <w:txbxContent>
                        <w:p w14:paraId="236E84D6" w14:textId="7B432677" w:rsidR="007C463B" w:rsidRPr="008A5CEE" w:rsidRDefault="007C463B" w:rsidP="007C463B">
                          <w:pPr>
                            <w:spacing w:line="240" w:lineRule="auto"/>
                            <w:ind w:left="471"/>
                            <w:rPr>
                              <w:sz w:val="16"/>
                            </w:rPr>
                          </w:pPr>
                          <w:r w:rsidRPr="008A5CEE">
                            <w:rPr>
                              <w:sz w:val="16"/>
                            </w:rPr>
                            <w:t>VYNDAMAX®,</w:t>
                          </w:r>
                          <w:r w:rsidRPr="008A5CEE">
                            <w:rPr>
                              <w:spacing w:val="-6"/>
                              <w:sz w:val="16"/>
                            </w:rPr>
                            <w:t xml:space="preserve"> </w:t>
                          </w:r>
                          <w:r w:rsidRPr="008A5CEE">
                            <w:rPr>
                              <w:sz w:val="16"/>
                            </w:rPr>
                            <w:t>VYNDAQEL®,</w:t>
                          </w:r>
                          <w:r w:rsidRPr="008A5CEE">
                            <w:rPr>
                              <w:spacing w:val="-4"/>
                              <w:sz w:val="16"/>
                            </w:rPr>
                            <w:t xml:space="preserve"> </w:t>
                          </w:r>
                          <w:r w:rsidRPr="008A5CEE">
                            <w:rPr>
                              <w:sz w:val="16"/>
                            </w:rPr>
                            <w:t>and</w:t>
                          </w:r>
                          <w:r w:rsidRPr="008A5CEE">
                            <w:rPr>
                              <w:spacing w:val="-4"/>
                              <w:sz w:val="16"/>
                            </w:rPr>
                            <w:t xml:space="preserve"> </w:t>
                          </w:r>
                          <w:r w:rsidRPr="00957F1F">
                            <w:rPr>
                              <w:color w:val="auto"/>
                              <w:sz w:val="16"/>
                            </w:rPr>
                            <w:t>V</w:t>
                          </w:r>
                          <w:r w:rsidR="00957F1F" w:rsidRPr="00957F1F">
                            <w:rPr>
                              <w:color w:val="auto"/>
                              <w:sz w:val="16"/>
                            </w:rPr>
                            <w:t>ynAssist</w:t>
                          </w:r>
                          <w:r w:rsidRPr="008A5CEE">
                            <w:rPr>
                              <w:sz w:val="16"/>
                            </w:rPr>
                            <w:t>®</w:t>
                          </w:r>
                          <w:r w:rsidRPr="008A5CEE">
                            <w:rPr>
                              <w:spacing w:val="-4"/>
                              <w:sz w:val="16"/>
                            </w:rPr>
                            <w:t xml:space="preserve"> </w:t>
                          </w:r>
                          <w:r w:rsidRPr="008A5CEE">
                            <w:rPr>
                              <w:sz w:val="16"/>
                            </w:rPr>
                            <w:t>are</w:t>
                          </w:r>
                          <w:r w:rsidRPr="008A5CEE">
                            <w:rPr>
                              <w:spacing w:val="-4"/>
                              <w:sz w:val="16"/>
                            </w:rPr>
                            <w:t xml:space="preserve"> </w:t>
                          </w:r>
                          <w:r w:rsidRPr="008A5CEE">
                            <w:rPr>
                              <w:sz w:val="16"/>
                            </w:rPr>
                            <w:t>registered</w:t>
                          </w:r>
                          <w:r w:rsidRPr="008A5CEE">
                            <w:rPr>
                              <w:spacing w:val="-4"/>
                              <w:sz w:val="16"/>
                            </w:rPr>
                            <w:t xml:space="preserve"> </w:t>
                          </w:r>
                          <w:r w:rsidRPr="008A5CEE">
                            <w:rPr>
                              <w:sz w:val="16"/>
                            </w:rPr>
                            <w:t>trademarks</w:t>
                          </w:r>
                          <w:r w:rsidRPr="008A5CEE">
                            <w:rPr>
                              <w:spacing w:val="-4"/>
                              <w:sz w:val="16"/>
                            </w:rPr>
                            <w:t xml:space="preserve"> </w:t>
                          </w:r>
                          <w:r w:rsidRPr="008A5CEE">
                            <w:rPr>
                              <w:sz w:val="16"/>
                            </w:rPr>
                            <w:t>of</w:t>
                          </w:r>
                          <w:r w:rsidRPr="008A5CEE">
                            <w:rPr>
                              <w:spacing w:val="-4"/>
                              <w:sz w:val="16"/>
                            </w:rPr>
                            <w:t xml:space="preserve"> </w:t>
                          </w:r>
                          <w:r w:rsidRPr="008A5CEE">
                            <w:rPr>
                              <w:sz w:val="16"/>
                            </w:rPr>
                            <w:t>Pﬁzer</w:t>
                          </w:r>
                          <w:r w:rsidRPr="008A5CEE">
                            <w:rPr>
                              <w:spacing w:val="-3"/>
                              <w:sz w:val="16"/>
                            </w:rPr>
                            <w:t xml:space="preserve"> </w:t>
                          </w:r>
                          <w:r w:rsidRPr="008A5CEE">
                            <w:rPr>
                              <w:spacing w:val="-4"/>
                              <w:sz w:val="16"/>
                            </w:rPr>
                            <w:t>Inc.</w:t>
                          </w:r>
                          <w:r w:rsidR="00C77AFA">
                            <w:rPr>
                              <w:sz w:val="16"/>
                            </w:rPr>
                            <w:br/>
                          </w:r>
                          <w:r w:rsidR="00C77AFA" w:rsidRPr="008A5CEE">
                            <w:rPr>
                              <w:sz w:val="16"/>
                            </w:rPr>
                            <w:t>©</w:t>
                          </w:r>
                          <w:r w:rsidRPr="008A5CEE">
                            <w:rPr>
                              <w:sz w:val="16"/>
                            </w:rPr>
                            <w:t>2025</w:t>
                          </w:r>
                          <w:r w:rsidRPr="008A5CEE">
                            <w:rPr>
                              <w:spacing w:val="-1"/>
                              <w:sz w:val="16"/>
                            </w:rPr>
                            <w:t xml:space="preserve"> </w:t>
                          </w:r>
                          <w:r w:rsidRPr="008A5CEE">
                            <w:rPr>
                              <w:sz w:val="16"/>
                            </w:rPr>
                            <w:t>Pﬁzer</w:t>
                          </w:r>
                          <w:r w:rsidRPr="008A5CEE">
                            <w:rPr>
                              <w:spacing w:val="-1"/>
                              <w:sz w:val="16"/>
                            </w:rPr>
                            <w:t xml:space="preserve"> </w:t>
                          </w:r>
                          <w:r w:rsidRPr="008A5CEE">
                            <w:rPr>
                              <w:sz w:val="16"/>
                            </w:rPr>
                            <w:t>Inc.</w:t>
                          </w:r>
                          <w:r w:rsidRPr="008A5CEE">
                            <w:rPr>
                              <w:spacing w:val="69"/>
                              <w:sz w:val="16"/>
                            </w:rPr>
                            <w:t xml:space="preserve"> </w:t>
                          </w:r>
                          <w:r w:rsidRPr="008A5CEE">
                            <w:rPr>
                              <w:sz w:val="16"/>
                            </w:rPr>
                            <w:t>All</w:t>
                          </w:r>
                          <w:r w:rsidRPr="008A5CEE">
                            <w:rPr>
                              <w:spacing w:val="-2"/>
                              <w:sz w:val="16"/>
                            </w:rPr>
                            <w:t xml:space="preserve"> </w:t>
                          </w:r>
                          <w:r w:rsidRPr="008A5CEE">
                            <w:rPr>
                              <w:sz w:val="16"/>
                            </w:rPr>
                            <w:t>rights</w:t>
                          </w:r>
                          <w:r w:rsidRPr="008A5CEE">
                            <w:rPr>
                              <w:spacing w:val="-1"/>
                              <w:sz w:val="16"/>
                            </w:rPr>
                            <w:t xml:space="preserve"> </w:t>
                          </w:r>
                          <w:r w:rsidRPr="008A5CEE">
                            <w:rPr>
                              <w:sz w:val="16"/>
                            </w:rPr>
                            <w:t>reserved.</w:t>
                          </w:r>
                          <w:r w:rsidRPr="008A5CEE">
                            <w:rPr>
                              <w:spacing w:val="69"/>
                              <w:sz w:val="16"/>
                            </w:rPr>
                            <w:t xml:space="preserve"> </w:t>
                          </w:r>
                          <w:r w:rsidR="00706743">
                            <w:rPr>
                              <w:sz w:val="16"/>
                            </w:rPr>
                            <w:t>September</w:t>
                          </w:r>
                          <w:r w:rsidRPr="008A5CEE">
                            <w:rPr>
                              <w:sz w:val="16"/>
                            </w:rPr>
                            <w:t xml:space="preserve"> 2025</w:t>
                          </w:r>
                          <w:r w:rsidRPr="008A5CEE">
                            <w:rPr>
                              <w:spacing w:val="69"/>
                              <w:sz w:val="16"/>
                            </w:rPr>
                            <w:t xml:space="preserve"> </w:t>
                          </w:r>
                          <w:r w:rsidRPr="008A5CEE">
                            <w:rPr>
                              <w:sz w:val="16"/>
                            </w:rPr>
                            <w:t>PP-VDM-USA-</w:t>
                          </w:r>
                          <w:r w:rsidRPr="007C463B">
                            <w:rPr>
                              <w:color w:val="auto"/>
                              <w:spacing w:val="-4"/>
                              <w:sz w:val="16"/>
                            </w:rPr>
                            <w:t>2</w:t>
                          </w:r>
                          <w:r w:rsidR="001B04A3">
                            <w:rPr>
                              <w:color w:val="auto"/>
                              <w:spacing w:val="-4"/>
                              <w:sz w:val="16"/>
                            </w:rPr>
                            <w:t>508</w:t>
                          </w:r>
                        </w:p>
                        <w:p w14:paraId="61EAB818" w14:textId="77777777" w:rsidR="007C463B" w:rsidRPr="008A5CEE" w:rsidRDefault="007C463B" w:rsidP="007C463B">
                          <w:pPr>
                            <w:spacing w:line="240" w:lineRule="auto"/>
                            <w:rPr>
                              <w:color w:val="auto"/>
                              <w:sz w:val="16"/>
                              <w:szCs w:val="18"/>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25E6A7" id="_x0000_t202" coordsize="21600,21600" o:spt="202" path="m,l,21600r21600,l21600,xe">
              <v:stroke joinstyle="miter"/>
              <v:path gradientshapeok="t" o:connecttype="rect"/>
            </v:shapetype>
            <v:shape id="_x0000_s1028" type="#_x0000_t202" style="position:absolute;left:0;text-align:left;margin-left:0;margin-top:2.05pt;width:324.65pt;height:23.7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" filled="f" stroked="f" strokeweight=".5pt">
              <v:textbox inset=",0,,0">
                <w:txbxContent>
                  <w:p w14:paraId="236E84D6" w14:textId="7B432677" w:rsidR="007C463B" w:rsidRPr="008A5CEE" w:rsidRDefault="007C463B" w:rsidP="007C463B">
                    <w:pPr>
                      <w:spacing w:line="240" w:lineRule="auto"/>
                      <w:ind w:left="471"/>
                      <w:rPr>
                        <w:sz w:val="16"/>
                      </w:rPr>
                    </w:pPr>
                    <w:r w:rsidRPr="008A5CEE">
                      <w:rPr>
                        <w:sz w:val="16"/>
                      </w:rPr>
                      <w:t>VYNDAMAX®,</w:t>
                    </w:r>
                    <w:r w:rsidRPr="008A5CEE">
                      <w:rPr>
                        <w:spacing w:val="-6"/>
                        <w:sz w:val="16"/>
                      </w:rPr>
                      <w:t xml:space="preserve"> </w:t>
                    </w:r>
                    <w:r w:rsidRPr="008A5CEE">
                      <w:rPr>
                        <w:sz w:val="16"/>
                      </w:rPr>
                      <w:t>VYNDAQEL®,</w:t>
                    </w:r>
                    <w:r w:rsidRPr="008A5CEE">
                      <w:rPr>
                        <w:spacing w:val="-4"/>
                        <w:sz w:val="16"/>
                      </w:rPr>
                      <w:t xml:space="preserve"> </w:t>
                    </w:r>
                    <w:r w:rsidRPr="008A5CEE">
                      <w:rPr>
                        <w:sz w:val="16"/>
                      </w:rPr>
                      <w:t>and</w:t>
                    </w:r>
                    <w:r w:rsidRPr="008A5CEE">
                      <w:rPr>
                        <w:spacing w:val="-4"/>
                        <w:sz w:val="16"/>
                      </w:rPr>
                      <w:t xml:space="preserve"> </w:t>
                    </w:r>
                    <w:proofErr w:type="spellStart"/>
                    <w:r w:rsidRPr="00957F1F">
                      <w:rPr>
                        <w:color w:val="auto"/>
                        <w:sz w:val="16"/>
                      </w:rPr>
                      <w:t>V</w:t>
                    </w:r>
                    <w:r w:rsidR="00957F1F" w:rsidRPr="00957F1F">
                      <w:rPr>
                        <w:color w:val="auto"/>
                        <w:sz w:val="16"/>
                      </w:rPr>
                      <w:t>ynAssist</w:t>
                    </w:r>
                    <w:proofErr w:type="spellEnd"/>
                    <w:r w:rsidRPr="008A5CEE">
                      <w:rPr>
                        <w:sz w:val="16"/>
                      </w:rPr>
                      <w:t>®</w:t>
                    </w:r>
                    <w:r w:rsidRPr="008A5CEE">
                      <w:rPr>
                        <w:spacing w:val="-4"/>
                        <w:sz w:val="16"/>
                      </w:rPr>
                      <w:t xml:space="preserve"> </w:t>
                    </w:r>
                    <w:r w:rsidRPr="008A5CEE">
                      <w:rPr>
                        <w:sz w:val="16"/>
                      </w:rPr>
                      <w:t>are</w:t>
                    </w:r>
                    <w:r w:rsidRPr="008A5CEE">
                      <w:rPr>
                        <w:spacing w:val="-4"/>
                        <w:sz w:val="16"/>
                      </w:rPr>
                      <w:t xml:space="preserve"> </w:t>
                    </w:r>
                    <w:r w:rsidRPr="008A5CEE">
                      <w:rPr>
                        <w:sz w:val="16"/>
                      </w:rPr>
                      <w:t>registered</w:t>
                    </w:r>
                    <w:r w:rsidRPr="008A5CEE">
                      <w:rPr>
                        <w:spacing w:val="-4"/>
                        <w:sz w:val="16"/>
                      </w:rPr>
                      <w:t xml:space="preserve"> </w:t>
                    </w:r>
                    <w:r w:rsidRPr="008A5CEE">
                      <w:rPr>
                        <w:sz w:val="16"/>
                      </w:rPr>
                      <w:t>trademarks</w:t>
                    </w:r>
                    <w:r w:rsidRPr="008A5CEE">
                      <w:rPr>
                        <w:spacing w:val="-4"/>
                        <w:sz w:val="16"/>
                      </w:rPr>
                      <w:t xml:space="preserve"> </w:t>
                    </w:r>
                    <w:r w:rsidRPr="008A5CEE">
                      <w:rPr>
                        <w:sz w:val="16"/>
                      </w:rPr>
                      <w:t>of</w:t>
                    </w:r>
                    <w:r w:rsidRPr="008A5CEE">
                      <w:rPr>
                        <w:spacing w:val="-4"/>
                        <w:sz w:val="16"/>
                      </w:rPr>
                      <w:t xml:space="preserve"> </w:t>
                    </w:r>
                    <w:r w:rsidRPr="008A5CEE">
                      <w:rPr>
                        <w:sz w:val="16"/>
                      </w:rPr>
                      <w:t>Pﬁzer</w:t>
                    </w:r>
                    <w:r w:rsidRPr="008A5CEE">
                      <w:rPr>
                        <w:spacing w:val="-3"/>
                        <w:sz w:val="16"/>
                      </w:rPr>
                      <w:t xml:space="preserve"> </w:t>
                    </w:r>
                    <w:r w:rsidRPr="008A5CEE">
                      <w:rPr>
                        <w:spacing w:val="-4"/>
                        <w:sz w:val="16"/>
                      </w:rPr>
                      <w:t>Inc.</w:t>
                    </w:r>
                    <w:r w:rsidR="00C77AFA">
                      <w:rPr>
                        <w:sz w:val="16"/>
                      </w:rPr>
                      <w:br/>
                    </w:r>
                    <w:r w:rsidR="00C77AFA" w:rsidRPr="008A5CEE">
                      <w:rPr>
                        <w:sz w:val="16"/>
                      </w:rPr>
                      <w:t>©</w:t>
                    </w:r>
                    <w:r w:rsidRPr="008A5CEE">
                      <w:rPr>
                        <w:sz w:val="16"/>
                      </w:rPr>
                      <w:t>2025</w:t>
                    </w:r>
                    <w:r w:rsidRPr="008A5CEE">
                      <w:rPr>
                        <w:spacing w:val="-1"/>
                        <w:sz w:val="16"/>
                      </w:rPr>
                      <w:t xml:space="preserve"> </w:t>
                    </w:r>
                    <w:r w:rsidRPr="008A5CEE">
                      <w:rPr>
                        <w:sz w:val="16"/>
                      </w:rPr>
                      <w:t>Pﬁzer</w:t>
                    </w:r>
                    <w:r w:rsidRPr="008A5CEE">
                      <w:rPr>
                        <w:spacing w:val="-1"/>
                        <w:sz w:val="16"/>
                      </w:rPr>
                      <w:t xml:space="preserve"> </w:t>
                    </w:r>
                    <w:r w:rsidRPr="008A5CEE">
                      <w:rPr>
                        <w:sz w:val="16"/>
                      </w:rPr>
                      <w:t>Inc.</w:t>
                    </w:r>
                    <w:r w:rsidRPr="008A5CEE">
                      <w:rPr>
                        <w:spacing w:val="69"/>
                        <w:sz w:val="16"/>
                      </w:rPr>
                      <w:t xml:space="preserve"> </w:t>
                    </w:r>
                    <w:r w:rsidRPr="008A5CEE">
                      <w:rPr>
                        <w:sz w:val="16"/>
                      </w:rPr>
                      <w:t>All</w:t>
                    </w:r>
                    <w:r w:rsidRPr="008A5CEE">
                      <w:rPr>
                        <w:spacing w:val="-2"/>
                        <w:sz w:val="16"/>
                      </w:rPr>
                      <w:t xml:space="preserve"> </w:t>
                    </w:r>
                    <w:r w:rsidRPr="008A5CEE">
                      <w:rPr>
                        <w:sz w:val="16"/>
                      </w:rPr>
                      <w:t>rights</w:t>
                    </w:r>
                    <w:r w:rsidRPr="008A5CEE">
                      <w:rPr>
                        <w:spacing w:val="-1"/>
                        <w:sz w:val="16"/>
                      </w:rPr>
                      <w:t xml:space="preserve"> </w:t>
                    </w:r>
                    <w:r w:rsidRPr="008A5CEE">
                      <w:rPr>
                        <w:sz w:val="16"/>
                      </w:rPr>
                      <w:t>reserved.</w:t>
                    </w:r>
                    <w:r w:rsidRPr="008A5CEE">
                      <w:rPr>
                        <w:spacing w:val="69"/>
                        <w:sz w:val="16"/>
                      </w:rPr>
                      <w:t xml:space="preserve"> </w:t>
                    </w:r>
                    <w:r w:rsidR="00706743">
                      <w:rPr>
                        <w:sz w:val="16"/>
                      </w:rPr>
                      <w:t>September</w:t>
                    </w:r>
                    <w:r w:rsidRPr="008A5CEE">
                      <w:rPr>
                        <w:sz w:val="16"/>
                      </w:rPr>
                      <w:t xml:space="preserve"> 2025</w:t>
                    </w:r>
                    <w:r w:rsidRPr="008A5CEE">
                      <w:rPr>
                        <w:spacing w:val="69"/>
                        <w:sz w:val="16"/>
                      </w:rPr>
                      <w:t xml:space="preserve"> </w:t>
                    </w:r>
                    <w:r w:rsidRPr="008A5CEE">
                      <w:rPr>
                        <w:sz w:val="16"/>
                      </w:rPr>
                      <w:t>PP-VDM-USA-</w:t>
                    </w:r>
                    <w:r w:rsidRPr="007C463B">
                      <w:rPr>
                        <w:color w:val="auto"/>
                        <w:spacing w:val="-4"/>
                        <w:sz w:val="16"/>
                      </w:rPr>
                      <w:t>2</w:t>
                    </w:r>
                    <w:r w:rsidR="001B04A3">
                      <w:rPr>
                        <w:color w:val="auto"/>
                        <w:spacing w:val="-4"/>
                        <w:sz w:val="16"/>
                      </w:rPr>
                      <w:t>508</w:t>
                    </w:r>
                  </w:p>
                  <w:p w14:paraId="61EAB818" w14:textId="77777777" w:rsidR="007C463B" w:rsidRPr="008A5CEE" w:rsidRDefault="007C463B" w:rsidP="007C463B">
                    <w:pPr>
                      <w:spacing w:line="240" w:lineRule="auto"/>
                      <w:rPr>
                        <w:color w:val="auto"/>
                        <w:sz w:val="16"/>
                        <w:szCs w:val="18"/>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78CF0" w14:textId="77777777" w:rsidR="00A22EBD" w:rsidRDefault="00CC2EC1">
    <w:pPr>
      <w:spacing w:after="0"/>
      <w:ind w:left="-979" w:right="11531"/>
    </w:pPr>
    <w:r>
      <w:rPr>
        <w:noProof/>
      </w:rPr>
      <w:drawing>
        <wp:anchor distT="0" distB="0" distL="114300" distR="114300" simplePos="0" relativeHeight="251660288" behindDoc="0" locked="0" layoutInCell="1" allowOverlap="0" wp14:anchorId="736F8883" wp14:editId="18D4FD82">
          <wp:simplePos x="0" y="0"/>
          <wp:positionH relativeFrom="page">
            <wp:posOffset>6262751</wp:posOffset>
          </wp:positionH>
          <wp:positionV relativeFrom="page">
            <wp:posOffset>9426333</wp:posOffset>
          </wp:positionV>
          <wp:extent cx="1115695" cy="426327"/>
          <wp:effectExtent l="0" t="0" r="0" b="0"/>
          <wp:wrapSquare wrapText="bothSides"/>
          <wp:docPr id="1413039971" name="Picture 1413039971"/>
          <wp:cNvGraphicFramePr/>
          <a:graphic xmlns:a="http://schemas.openxmlformats.org/drawingml/2006/main">
            <a:graphicData uri="http://schemas.openxmlformats.org/drawingml/2006/picture">
              <pic:pic xmlns:pic="http://schemas.openxmlformats.org/drawingml/2006/picture">
                <pic:nvPicPr>
                  <pic:cNvPr id="366" name="Picture 366"/>
                  <pic:cNvPicPr/>
                </pic:nvPicPr>
                <pic:blipFill>
                  <a:blip r:embed="rId1"/>
                  <a:stretch>
                    <a:fillRect/>
                  </a:stretch>
                </pic:blipFill>
                <pic:spPr>
                  <a:xfrm>
                    <a:off x="0" y="0"/>
                    <a:ext cx="1115695" cy="426327"/>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58A87" w14:textId="77777777" w:rsidR="009E160F" w:rsidRDefault="009E160F">
      <w:pPr>
        <w:spacing w:after="0" w:line="240" w:lineRule="auto"/>
      </w:pPr>
      <w:r>
        <w:separator/>
      </w:r>
    </w:p>
  </w:footnote>
  <w:footnote w:type="continuationSeparator" w:id="0">
    <w:p w14:paraId="38C367C1" w14:textId="77777777" w:rsidR="009E160F" w:rsidRDefault="009E16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578D"/>
    <w:multiLevelType w:val="hybridMultilevel"/>
    <w:tmpl w:val="033EA198"/>
    <w:lvl w:ilvl="0" w:tplc="D07E0258">
      <w:start w:val="1"/>
      <w:numFmt w:val="decimal"/>
      <w:lvlText w:val="%1."/>
      <w:lvlJc w:val="left"/>
      <w:pPr>
        <w:ind w:left="38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4AA2D98">
      <w:start w:val="1"/>
      <w:numFmt w:val="lowerLetter"/>
      <w:lvlText w:val="%2"/>
      <w:lvlJc w:val="left"/>
      <w:pPr>
        <w:ind w:left="12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14A5DB4">
      <w:start w:val="1"/>
      <w:numFmt w:val="lowerRoman"/>
      <w:lvlText w:val="%3"/>
      <w:lvlJc w:val="left"/>
      <w:pPr>
        <w:ind w:left="19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B548D98">
      <w:start w:val="1"/>
      <w:numFmt w:val="decimal"/>
      <w:lvlText w:val="%4"/>
      <w:lvlJc w:val="left"/>
      <w:pPr>
        <w:ind w:left="26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9DEF41A">
      <w:start w:val="1"/>
      <w:numFmt w:val="lowerLetter"/>
      <w:lvlText w:val="%5"/>
      <w:lvlJc w:val="left"/>
      <w:pPr>
        <w:ind w:left="34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D62A2E8">
      <w:start w:val="1"/>
      <w:numFmt w:val="lowerRoman"/>
      <w:lvlText w:val="%6"/>
      <w:lvlJc w:val="left"/>
      <w:pPr>
        <w:ind w:left="41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82EF82A">
      <w:start w:val="1"/>
      <w:numFmt w:val="decimal"/>
      <w:lvlText w:val="%7"/>
      <w:lvlJc w:val="left"/>
      <w:pPr>
        <w:ind w:left="48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C8EF0DE">
      <w:start w:val="1"/>
      <w:numFmt w:val="lowerLetter"/>
      <w:lvlText w:val="%8"/>
      <w:lvlJc w:val="left"/>
      <w:pPr>
        <w:ind w:left="55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A6E9A6A">
      <w:start w:val="1"/>
      <w:numFmt w:val="lowerRoman"/>
      <w:lvlText w:val="%9"/>
      <w:lvlJc w:val="left"/>
      <w:pPr>
        <w:ind w:left="62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A05132B"/>
    <w:multiLevelType w:val="hybridMultilevel"/>
    <w:tmpl w:val="13BEC08E"/>
    <w:lvl w:ilvl="0" w:tplc="AD120C90">
      <w:start w:val="1"/>
      <w:numFmt w:val="bullet"/>
      <w:lvlText w:val="•"/>
      <w:lvlJc w:val="left"/>
      <w:pPr>
        <w:ind w:left="1025"/>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1" w:tplc="62CED22A">
      <w:start w:val="1"/>
      <w:numFmt w:val="bullet"/>
      <w:lvlText w:val="o"/>
      <w:lvlJc w:val="left"/>
      <w:pPr>
        <w:ind w:left="180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2" w:tplc="18329BF0">
      <w:start w:val="1"/>
      <w:numFmt w:val="bullet"/>
      <w:lvlText w:val="▪"/>
      <w:lvlJc w:val="left"/>
      <w:pPr>
        <w:ind w:left="252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3" w:tplc="DC4AA6AC">
      <w:start w:val="1"/>
      <w:numFmt w:val="bullet"/>
      <w:lvlText w:val="•"/>
      <w:lvlJc w:val="left"/>
      <w:pPr>
        <w:ind w:left="324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4" w:tplc="83585262">
      <w:start w:val="1"/>
      <w:numFmt w:val="bullet"/>
      <w:lvlText w:val="o"/>
      <w:lvlJc w:val="left"/>
      <w:pPr>
        <w:ind w:left="396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5" w:tplc="DCC895E0">
      <w:start w:val="1"/>
      <w:numFmt w:val="bullet"/>
      <w:lvlText w:val="▪"/>
      <w:lvlJc w:val="left"/>
      <w:pPr>
        <w:ind w:left="468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6" w:tplc="29B452B4">
      <w:start w:val="1"/>
      <w:numFmt w:val="bullet"/>
      <w:lvlText w:val="•"/>
      <w:lvlJc w:val="left"/>
      <w:pPr>
        <w:ind w:left="540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7" w:tplc="16869444">
      <w:start w:val="1"/>
      <w:numFmt w:val="bullet"/>
      <w:lvlText w:val="o"/>
      <w:lvlJc w:val="left"/>
      <w:pPr>
        <w:ind w:left="612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lvl w:ilvl="8" w:tplc="939A2900">
      <w:start w:val="1"/>
      <w:numFmt w:val="bullet"/>
      <w:lvlText w:val="▪"/>
      <w:lvlJc w:val="left"/>
      <w:pPr>
        <w:ind w:left="6847"/>
      </w:pPr>
      <w:rPr>
        <w:rFonts w:ascii="Times New Roman" w:eastAsia="Times New Roman" w:hAnsi="Times New Roman" w:cs="Times New Roman"/>
        <w:b w:val="0"/>
        <w:i w:val="0"/>
        <w:strike w:val="0"/>
        <w:dstrike w:val="0"/>
        <w:color w:val="EC008B"/>
        <w:sz w:val="22"/>
        <w:szCs w:val="22"/>
        <w:u w:val="none" w:color="000000"/>
        <w:bdr w:val="none" w:sz="0" w:space="0" w:color="auto"/>
        <w:shd w:val="clear" w:color="auto" w:fill="auto"/>
        <w:vertAlign w:val="baseline"/>
      </w:rPr>
    </w:lvl>
  </w:abstractNum>
  <w:num w:numId="1" w16cid:durableId="1942493832">
    <w:abstractNumId w:val="1"/>
  </w:num>
  <w:num w:numId="2" w16cid:durableId="1341080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EBD"/>
    <w:rsid w:val="00013E53"/>
    <w:rsid w:val="001B04A3"/>
    <w:rsid w:val="001E478A"/>
    <w:rsid w:val="002777AC"/>
    <w:rsid w:val="00320D12"/>
    <w:rsid w:val="00347BE3"/>
    <w:rsid w:val="004438E8"/>
    <w:rsid w:val="00470A60"/>
    <w:rsid w:val="004E4203"/>
    <w:rsid w:val="0050619E"/>
    <w:rsid w:val="005F0722"/>
    <w:rsid w:val="00706743"/>
    <w:rsid w:val="007620CE"/>
    <w:rsid w:val="007C463B"/>
    <w:rsid w:val="007F272D"/>
    <w:rsid w:val="00901A9D"/>
    <w:rsid w:val="00905AA9"/>
    <w:rsid w:val="00957F1F"/>
    <w:rsid w:val="009959C6"/>
    <w:rsid w:val="009B6E66"/>
    <w:rsid w:val="009E160F"/>
    <w:rsid w:val="00A22EBD"/>
    <w:rsid w:val="00A5165E"/>
    <w:rsid w:val="00A9051F"/>
    <w:rsid w:val="00B4151D"/>
    <w:rsid w:val="00B50B30"/>
    <w:rsid w:val="00BA63D4"/>
    <w:rsid w:val="00C77AFA"/>
    <w:rsid w:val="00CC2EC1"/>
    <w:rsid w:val="00D72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C338D5"/>
  <w15:docId w15:val="{8A12CC58-FF01-4FD6-85AE-20D25937C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4" w:line="259" w:lineRule="auto"/>
      <w:ind w:left="471" w:hanging="10"/>
      <w:outlineLvl w:val="0"/>
    </w:pPr>
    <w:rPr>
      <w:rFonts w:ascii="Calibri" w:eastAsia="Calibri" w:hAnsi="Calibri" w:cs="Calibri"/>
      <w:b/>
      <w:color w:val="045E8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45E82"/>
      <w:sz w:val="24"/>
    </w:rPr>
  </w:style>
  <w:style w:type="paragraph" w:styleId="Header">
    <w:name w:val="header"/>
    <w:basedOn w:val="Normal"/>
    <w:link w:val="HeaderChar"/>
    <w:uiPriority w:val="99"/>
    <w:unhideWhenUsed/>
    <w:rsid w:val="007C46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63B"/>
    <w:rPr>
      <w:rFonts w:ascii="Calibri" w:eastAsia="Calibri" w:hAnsi="Calibri" w:cs="Calibri"/>
      <w:color w:val="000000"/>
      <w:sz w:val="22"/>
    </w:rPr>
  </w:style>
  <w:style w:type="character" w:styleId="Hyperlink">
    <w:name w:val="Hyperlink"/>
    <w:basedOn w:val="DefaultParagraphFont"/>
    <w:uiPriority w:val="99"/>
    <w:unhideWhenUsed/>
    <w:rsid w:val="00013E53"/>
    <w:rPr>
      <w:color w:val="467886" w:themeColor="hyperlink"/>
      <w:u w:val="single"/>
    </w:rPr>
  </w:style>
  <w:style w:type="character" w:styleId="UnresolvedMention">
    <w:name w:val="Unresolved Mention"/>
    <w:basedOn w:val="DefaultParagraphFont"/>
    <w:uiPriority w:val="99"/>
    <w:semiHidden/>
    <w:unhideWhenUsed/>
    <w:rsid w:val="00013E53"/>
    <w:rPr>
      <w:color w:val="605E5C"/>
      <w:shd w:val="clear" w:color="auto" w:fill="E1DFDD"/>
    </w:rPr>
  </w:style>
  <w:style w:type="character" w:styleId="FollowedHyperlink">
    <w:name w:val="FollowedHyperlink"/>
    <w:basedOn w:val="DefaultParagraphFont"/>
    <w:uiPriority w:val="99"/>
    <w:semiHidden/>
    <w:unhideWhenUsed/>
    <w:rsid w:val="00013E5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labeling.pfizer.com/ShowLabeling.aspx?id=11685" TargetMode="External"/><Relationship Id="rId18" Type="http://schemas.openxmlformats.org/officeDocument/2006/relationships/hyperlink" Target="https://labeling.pfizer.com/ShowLabeling.aspx?id=11685" TargetMode="External"/><Relationship Id="rId26" Type="http://schemas.openxmlformats.org/officeDocument/2006/relationships/hyperlink" Target="http://www.pfizer.com/news/press-release/press-release-detail/analysis-phase-3-attr-act-and-its-long-term-" TargetMode="External"/><Relationship Id="rId39" Type="http://schemas.openxmlformats.org/officeDocument/2006/relationships/hyperlink" Target="http://www.pfizer.com/news/press-release/press-release-detail/analysis-phase-3-attr-act-and-its-long-term-" TargetMode="External"/><Relationship Id="rId21" Type="http://schemas.openxmlformats.org/officeDocument/2006/relationships/hyperlink" Target="http://amyloidosissupport.org/support_groups/fam_isabell_attr.pdf" TargetMode="External"/><Relationship Id="rId34" Type="http://schemas.openxmlformats.org/officeDocument/2006/relationships/hyperlink" Target="http://www.pfizer.com/news/press-release/press-release-detail/analysis-phase-3-attr-act-and-its-long-term-" TargetMode="External"/><Relationship Id="rId42" Type="http://schemas.openxmlformats.org/officeDocument/2006/relationships/hyperlink" Target="http://www.pfizer.com/news/press-release/press-release-detail/analysis-phase-3-attr-act-and-its-long-term-" TargetMode="External"/><Relationship Id="rId47" Type="http://schemas.openxmlformats.org/officeDocument/2006/relationships/hyperlink" Target="http://www.pfizer.com/news/press-release/press-release-detail/analysis-phase-3-attr-act-and-its-long-term-" TargetMode="External"/><Relationship Id="rId50" Type="http://schemas.openxmlformats.org/officeDocument/2006/relationships/footer" Target="footer3.xml"/><Relationship Id="rId7" Type="http://schemas.openxmlformats.org/officeDocument/2006/relationships/hyperlink" Target="https://labeling.pfizer.com/ShowLabeling.aspx?id=11685" TargetMode="External"/><Relationship Id="rId2" Type="http://schemas.openxmlformats.org/officeDocument/2006/relationships/styles" Target="styles.xml"/><Relationship Id="rId16" Type="http://schemas.openxmlformats.org/officeDocument/2006/relationships/hyperlink" Target="https://labeling.pfizer.com/ShowLabeling.aspx?id=11685" TargetMode="External"/><Relationship Id="rId29" Type="http://schemas.openxmlformats.org/officeDocument/2006/relationships/hyperlink" Target="http://www.pfizer.com/news/press-release/press-release-detail/analysis-phase-3-attr-act-and-its-long-term-" TargetMode="External"/><Relationship Id="rId11" Type="http://schemas.openxmlformats.org/officeDocument/2006/relationships/hyperlink" Target="https://labeling.pfizer.com/ShowLabeling.aspx?id=11685" TargetMode="External"/><Relationship Id="rId24" Type="http://schemas.openxmlformats.org/officeDocument/2006/relationships/hyperlink" Target="http://www.pfizer.com/news/press-release/press-release-detail/analysis-phase-3-attr-act-and-its-long-term-" TargetMode="External"/><Relationship Id="rId32" Type="http://schemas.openxmlformats.org/officeDocument/2006/relationships/hyperlink" Target="http://www.pfizer.com/news/press-release/press-release-detail/analysis-phase-3-attr-act-and-its-long-term-" TargetMode="External"/><Relationship Id="rId37" Type="http://schemas.openxmlformats.org/officeDocument/2006/relationships/hyperlink" Target="http://www.pfizer.com/news/press-release/press-release-detail/analysis-phase-3-attr-act-and-its-long-term-" TargetMode="External"/><Relationship Id="rId40" Type="http://schemas.openxmlformats.org/officeDocument/2006/relationships/hyperlink" Target="http://www.pfizer.com/news/press-release/press-release-detail/analysis-phase-3-attr-act-and-its-long-term-" TargetMode="External"/><Relationship Id="rId45" Type="http://schemas.openxmlformats.org/officeDocument/2006/relationships/hyperlink" Target="http://www.pfizer.com/news/press-release/press-release-detail/analysis-phase-3-attr-act-and-its-long-term-" TargetMode="External"/><Relationship Id="rId5" Type="http://schemas.openxmlformats.org/officeDocument/2006/relationships/footnotes" Target="footnotes.xml"/><Relationship Id="rId15" Type="http://schemas.openxmlformats.org/officeDocument/2006/relationships/hyperlink" Target="https://labeling.pfizer.com/ShowLabeling.aspx?id=11685" TargetMode="External"/><Relationship Id="rId23" Type="http://schemas.openxmlformats.org/officeDocument/2006/relationships/hyperlink" Target="http://www.ncbi.nlm.nih.gov/pmc/article/PMC3501197" TargetMode="External"/><Relationship Id="rId28" Type="http://schemas.openxmlformats.org/officeDocument/2006/relationships/hyperlink" Target="http://www.pfizer.com/news/press-release/press-release-detail/analysis-phase-3-attr-act-and-its-long-term-" TargetMode="External"/><Relationship Id="rId36" Type="http://schemas.openxmlformats.org/officeDocument/2006/relationships/hyperlink" Target="http://www.pfizer.com/news/press-release/press-release-detail/analysis-phase-3-attr-act-and-its-long-term-" TargetMode="External"/><Relationship Id="rId49" Type="http://schemas.openxmlformats.org/officeDocument/2006/relationships/footer" Target="footer2.xml"/><Relationship Id="rId10" Type="http://schemas.openxmlformats.org/officeDocument/2006/relationships/hyperlink" Target="https://labeling.pfizer.com/ShowLabeling.aspx?id=11685" TargetMode="External"/><Relationship Id="rId19" Type="http://schemas.openxmlformats.org/officeDocument/2006/relationships/hyperlink" Target="https://labeling.pfizer.com/ShowLabeling.aspx?id=11685" TargetMode="External"/><Relationship Id="rId31" Type="http://schemas.openxmlformats.org/officeDocument/2006/relationships/hyperlink" Target="http://www.pfizer.com/news/press-release/press-release-detail/analysis-phase-3-attr-act-and-its-long-term-" TargetMode="External"/><Relationship Id="rId44" Type="http://schemas.openxmlformats.org/officeDocument/2006/relationships/hyperlink" Target="http://www.pfizer.com/news/press-release/press-release-detail/analysis-phase-3-attr-act-and-its-long-term-"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abeling.pfizer.com/ShowLabeling.aspx?id=11685" TargetMode="External"/><Relationship Id="rId14" Type="http://schemas.openxmlformats.org/officeDocument/2006/relationships/hyperlink" Target="https://labeling.pfizer.com/ShowLabeling.aspx?id=11685" TargetMode="External"/><Relationship Id="rId22" Type="http://schemas.openxmlformats.org/officeDocument/2006/relationships/hyperlink" Target="http://www.ncbi.nlm.nih.gov/pmc/article/PMC3501197" TargetMode="External"/><Relationship Id="rId27" Type="http://schemas.openxmlformats.org/officeDocument/2006/relationships/hyperlink" Target="http://www.pfizer.com/news/press-release/press-release-detail/analysis-phase-3-attr-act-and-its-long-term-" TargetMode="External"/><Relationship Id="rId30" Type="http://schemas.openxmlformats.org/officeDocument/2006/relationships/hyperlink" Target="http://www.pfizer.com/news/press-release/press-release-detail/analysis-phase-3-attr-act-and-its-long-term-" TargetMode="External"/><Relationship Id="rId35" Type="http://schemas.openxmlformats.org/officeDocument/2006/relationships/hyperlink" Target="http://www.pfizer.com/news/press-release/press-release-detail/analysis-phase-3-attr-act-and-its-long-term-" TargetMode="External"/><Relationship Id="rId43" Type="http://schemas.openxmlformats.org/officeDocument/2006/relationships/hyperlink" Target="http://www.pfizer.com/news/press-release/press-release-detail/analysis-phase-3-attr-act-and-its-long-term-" TargetMode="External"/><Relationship Id="rId48" Type="http://schemas.openxmlformats.org/officeDocument/2006/relationships/footer" Target="footer1.xml"/><Relationship Id="rId8" Type="http://schemas.openxmlformats.org/officeDocument/2006/relationships/hyperlink" Target="https://labeling.pfizer.com/ShowLabeling.aspx?id=11685"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labeling.pfizer.com/ShowLabeling.aspx?id=11685" TargetMode="External"/><Relationship Id="rId17" Type="http://schemas.openxmlformats.org/officeDocument/2006/relationships/hyperlink" Target="https://labeling.pfizer.com/ShowLabeling.aspx?id=11685" TargetMode="External"/><Relationship Id="rId25" Type="http://schemas.openxmlformats.org/officeDocument/2006/relationships/hyperlink" Target="http://www.pfizer.com/news/press-release/press-release-detail/analysis-phase-3-attr-act-and-its-long-term-" TargetMode="External"/><Relationship Id="rId33" Type="http://schemas.openxmlformats.org/officeDocument/2006/relationships/hyperlink" Target="http://www.pfizer.com/news/press-release/press-release-detail/analysis-phase-3-attr-act-and-its-long-term-" TargetMode="External"/><Relationship Id="rId38" Type="http://schemas.openxmlformats.org/officeDocument/2006/relationships/hyperlink" Target="http://www.pfizer.com/news/press-release/press-release-detail/analysis-phase-3-attr-act-and-its-long-term-" TargetMode="External"/><Relationship Id="rId46" Type="http://schemas.openxmlformats.org/officeDocument/2006/relationships/hyperlink" Target="http://www.pfizer.com/news/press-release/press-release-detail/analysis-phase-3-attr-act-and-its-long-term-" TargetMode="External"/><Relationship Id="rId20" Type="http://schemas.openxmlformats.org/officeDocument/2006/relationships/hyperlink" Target="http://amyloidosissupport.org/support_groups/fam_isabell_attr.pdf" TargetMode="External"/><Relationship Id="rId41" Type="http://schemas.openxmlformats.org/officeDocument/2006/relationships/hyperlink" Target="http://www.pfizer.com/news/press-release/press-release-detail/analysis-phase-3-attr-act-and-its-long-term-" TargetMode="External"/><Relationship Id="rId1" Type="http://schemas.openxmlformats.org/officeDocument/2006/relationships/numbering" Target="numbering.xml"/><Relationship Id="rId6"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1787</Words>
  <Characters>10188</Characters>
  <Application>Microsoft Office Word</Application>
  <DocSecurity>0</DocSecurity>
  <Lines>84</Lines>
  <Paragraphs>23</Paragraphs>
  <ScaleCrop>false</ScaleCrop>
  <Company/>
  <LinksUpToDate>false</LinksUpToDate>
  <CharactersWithSpaces>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Vyndamax Letter of Medical Necessity 202 Update- MH</dc:title>
  <dc:subject/>
  <dc:creator>Horton, Matthew Scott</dc:creator>
  <cp:keywords/>
  <cp:lastModifiedBy>Anna Eliopoulos</cp:lastModifiedBy>
  <cp:revision>2</cp:revision>
  <dcterms:created xsi:type="dcterms:W3CDTF">2025-09-15T17:23:00Z</dcterms:created>
  <dcterms:modified xsi:type="dcterms:W3CDTF">2025-09-15T17:23:00Z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1b42f-c435-42ca-9531-75a3f42aae3d_Enabled">
    <vt:lpwstr>true</vt:lpwstr>
  </property>
  <property fmtid="{D5CDD505-2E9C-101B-9397-08002B2CF9AE}" pid="3" name="MSIP_Label_4791b42f-c435-42ca-9531-75a3f42aae3d_SetDate">
    <vt:lpwstr>2025-08-13T19:51:36Z</vt:lpwstr>
  </property>
  <property fmtid="{D5CDD505-2E9C-101B-9397-08002B2CF9AE}" pid="4" name="MSIP_Label_4791b42f-c435-42ca-9531-75a3f42aae3d_Method">
    <vt:lpwstr>Privileged</vt:lpwstr>
  </property>
  <property fmtid="{D5CDD505-2E9C-101B-9397-08002B2CF9AE}" pid="5" name="MSIP_Label_4791b42f-c435-42ca-9531-75a3f42aae3d_Name">
    <vt:lpwstr>4791b42f-c435-42ca-9531-75a3f42aae3d</vt:lpwstr>
  </property>
  <property fmtid="{D5CDD505-2E9C-101B-9397-08002B2CF9AE}" pid="6" name="MSIP_Label_4791b42f-c435-42ca-9531-75a3f42aae3d_SiteId">
    <vt:lpwstr>7a916015-20ae-4ad1-9170-eefd915e9272</vt:lpwstr>
  </property>
  <property fmtid="{D5CDD505-2E9C-101B-9397-08002B2CF9AE}" pid="7" name="MSIP_Label_4791b42f-c435-42ca-9531-75a3f42aae3d_ActionId">
    <vt:lpwstr>384a7865-2138-45ed-bf55-d5a74314f7f2</vt:lpwstr>
  </property>
  <property fmtid="{D5CDD505-2E9C-101B-9397-08002B2CF9AE}" pid="8" name="MSIP_Label_4791b42f-c435-42ca-9531-75a3f42aae3d_ContentBits">
    <vt:lpwstr>0</vt:lpwstr>
  </property>
  <property fmtid="{D5CDD505-2E9C-101B-9397-08002B2CF9AE}" pid="9" name="MSIP_Label_4791b42f-c435-42ca-9531-75a3f42aae3d_Tag">
    <vt:lpwstr>10, 0, 1, 1</vt:lpwstr>
  </property>
</Properties>
</file>